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07CBC" w14:textId="77777777" w:rsidR="00DF2FD6" w:rsidRDefault="00000000">
      <w:pPr>
        <w:pStyle w:val="Heading1"/>
      </w:pPr>
      <w:bookmarkStart w:id="0" w:name="header"/>
      <w:bookmarkStart w:id="1" w:name="Xb8cd2ecb149aa490714bfaf5cd46fd83d0e6392"/>
      <w:bookmarkStart w:id="2" w:name="content"/>
      <w:bookmarkEnd w:id="0"/>
      <w:r>
        <w:t>Comparative Impact of Central Bank Policy Rates on NASDAQ and KOSDAQ (2005–2025)</w:t>
      </w:r>
    </w:p>
    <w:p w14:paraId="103E070D" w14:textId="77777777" w:rsidR="00DF2FD6" w:rsidRDefault="00000000">
      <w:pPr>
        <w:pStyle w:val="Heading2"/>
      </w:pPr>
      <w:bookmarkStart w:id="3" w:name="introduction"/>
      <w:r>
        <w:t>Introduction</w:t>
      </w:r>
    </w:p>
    <w:p w14:paraId="36A12D87" w14:textId="77777777" w:rsidR="00DF2FD6" w:rsidRDefault="00000000">
      <w:pPr>
        <w:pStyle w:val="FirstParagraph"/>
      </w:pPr>
      <w:r>
        <w:t xml:space="preserve">Over the past two decades, equity markets in the United States and South Korea have navigated dramatic shifts in monetary policy. This report examines how the U.S. NASDAQ Composite and Korea’s KOSDAQ index – both technology-heavy markets – have historically reacted to changes in their respective central bank policy rates, namely the U.S. Federal Funds Rate (Fed rate) and the Bank of Korea (BOK) Base Rate. We analyze time-series data from 2005–2025, conduct statistical sensitivity measures (correlations, regressions), and highlight event-study insights around major policy moves. We also account for </w:t>
      </w:r>
      <w:r>
        <w:rPr>
          <w:b/>
          <w:bCs/>
        </w:rPr>
        <w:t>unconventional monetary policy actions</w:t>
      </w:r>
      <w:r>
        <w:t xml:space="preserve"> (like quantitative easing and forward guidance) and consider </w:t>
      </w:r>
      <w:r>
        <w:rPr>
          <w:b/>
          <w:bCs/>
        </w:rPr>
        <w:t>major economic events</w:t>
      </w:r>
      <w:r>
        <w:t xml:space="preserve"> (e.g. the 2008 global financial crisis, the COVID-19 shock, recent inflation surges) that influenced market responses. In doing so, we uncover why the NASDAQ often responds more sharply to policy shifts than the KOSDAQ.</w:t>
      </w:r>
    </w:p>
    <w:p w14:paraId="605C6989" w14:textId="77777777" w:rsidR="00DF2FD6" w:rsidRDefault="00000000">
      <w:pPr>
        <w:pStyle w:val="Heading2"/>
      </w:pPr>
      <w:bookmarkStart w:id="4" w:name="data-overview-and-methodology"/>
      <w:bookmarkEnd w:id="3"/>
      <w:r>
        <w:t>Data Overview and Methodology</w:t>
      </w:r>
    </w:p>
    <w:p w14:paraId="54499046" w14:textId="77777777" w:rsidR="00DF2FD6" w:rsidRDefault="00000000">
      <w:pPr>
        <w:pStyle w:val="FirstParagraph"/>
      </w:pPr>
      <w:r>
        <w:t>We compiled monthly time-series data for: (1) the NASDAQ Composite Index (USA), (2) the KOSDAQ Composite Index (Korea), (3) the Federal Funds Rate (target/effective), and (4) the BOK Base Rate. Key points include:</w:t>
      </w:r>
    </w:p>
    <w:p w14:paraId="2530AFAA" w14:textId="77777777" w:rsidR="00DF2FD6" w:rsidRDefault="00000000">
      <w:pPr>
        <w:numPr>
          <w:ilvl w:val="0"/>
          <w:numId w:val="2"/>
        </w:numPr>
      </w:pPr>
      <w:r>
        <w:rPr>
          <w:b/>
          <w:bCs/>
        </w:rPr>
        <w:t>Federal Funds Rate (Fed policy rate)</w:t>
      </w:r>
      <w:r>
        <w:t xml:space="preserve"> – Ranged from a peak of ~5.25% in 2006–2007 to effectively 0% in 2008–2015 and again in 2020</w:t>
      </w:r>
      <w:hyperlink r:id="rId5" w:anchor=":~:text=2006,01%205.26">
        <w:r>
          <w:rPr>
            <w:rStyle w:val="Hyperlink"/>
          </w:rPr>
          <w:t>[1]</w:t>
        </w:r>
      </w:hyperlink>
      <w:hyperlink r:id="rId6" w:anchor=":~:text=2019,01%200.09">
        <w:r>
          <w:rPr>
            <w:rStyle w:val="Hyperlink"/>
          </w:rPr>
          <w:t>[2]</w:t>
        </w:r>
      </w:hyperlink>
      <w:r>
        <w:t xml:space="preserve">. The Fed undertook </w:t>
      </w:r>
      <w:r>
        <w:rPr>
          <w:b/>
          <w:bCs/>
        </w:rPr>
        <w:t>rapid tightening</w:t>
      </w:r>
      <w:r>
        <w:t xml:space="preserve"> cycles in 2005–2006 and 2017–2018, massive </w:t>
      </w:r>
      <w:r>
        <w:rPr>
          <w:b/>
          <w:bCs/>
        </w:rPr>
        <w:t>cuts to near-zero</w:t>
      </w:r>
      <w:r>
        <w:t xml:space="preserve"> in late 2008 and early 2020, and another swift hiking cycle in 2022–2023 (raising from 0.08% in early 2022 to ~4.10% by end-2022)</w:t>
      </w:r>
      <w:hyperlink r:id="rId7" w:anchor=":~:text=2022,01%205.08">
        <w:r>
          <w:rPr>
            <w:rStyle w:val="Hyperlink"/>
          </w:rPr>
          <w:t>[3]</w:t>
        </w:r>
      </w:hyperlink>
      <w:hyperlink r:id="rId8" w:anchor=":~:text=2022,01%205.12">
        <w:r>
          <w:rPr>
            <w:rStyle w:val="Hyperlink"/>
          </w:rPr>
          <w:t>[4]</w:t>
        </w:r>
      </w:hyperlink>
      <w:r>
        <w:t xml:space="preserve">. This was supplemented by </w:t>
      </w:r>
      <w:r>
        <w:rPr>
          <w:b/>
          <w:bCs/>
        </w:rPr>
        <w:t>quantitative easing (QE)</w:t>
      </w:r>
      <w:r>
        <w:t xml:space="preserve"> programs after 2008 and 2020, which flooded markets with liquidity.</w:t>
      </w:r>
    </w:p>
    <w:p w14:paraId="57CFC541" w14:textId="77777777" w:rsidR="00DF2FD6" w:rsidRDefault="00000000">
      <w:pPr>
        <w:numPr>
          <w:ilvl w:val="0"/>
          <w:numId w:val="2"/>
        </w:numPr>
      </w:pPr>
      <w:r>
        <w:rPr>
          <w:b/>
          <w:bCs/>
        </w:rPr>
        <w:t>BOK Base Rate (Korea policy rate)</w:t>
      </w:r>
      <w:r>
        <w:t xml:space="preserve"> – Varied from a high of 5.25% (Sep 2008) to a low of 0.50% (Jul 2021)</w:t>
      </w:r>
      <w:hyperlink r:id="rId9" w:anchor=":~:text=,pa%20in%20Jul%202021">
        <w:r>
          <w:rPr>
            <w:rStyle w:val="Hyperlink"/>
          </w:rPr>
          <w:t>[5]</w:t>
        </w:r>
      </w:hyperlink>
      <w:hyperlink r:id="rId10" w:anchor=":~:text=,pa%20in%20Jul%202021">
        <w:r>
          <w:rPr>
            <w:rStyle w:val="Hyperlink"/>
          </w:rPr>
          <w:t>[6]</w:t>
        </w:r>
      </w:hyperlink>
      <w:r>
        <w:t>. The BOK similarly raised rates in the mid-2000s (peaking in 2008), slashed rates during crises (late 2008–2009, 2020), and employed moderate QE-like liquidity support (though far smaller in scale than the Fed’s). By 2021–2022, facing inflation, BOK hiked from the 0.50% floor back up to 3.50% (early 2023) before modest easing to 2.50% by mid-2025</w:t>
      </w:r>
      <w:hyperlink r:id="rId11" w:anchor=":~:text=01">
        <w:r>
          <w:rPr>
            <w:rStyle w:val="Hyperlink"/>
          </w:rPr>
          <w:t>[7]</w:t>
        </w:r>
      </w:hyperlink>
      <w:hyperlink r:id="rId12" w:anchor=":~:text=07">
        <w:r>
          <w:rPr>
            <w:rStyle w:val="Hyperlink"/>
          </w:rPr>
          <w:t>[8]</w:t>
        </w:r>
      </w:hyperlink>
      <w:r>
        <w:t>.</w:t>
      </w:r>
    </w:p>
    <w:p w14:paraId="58CF26CD" w14:textId="77777777" w:rsidR="00DF2FD6" w:rsidRDefault="00000000">
      <w:pPr>
        <w:numPr>
          <w:ilvl w:val="0"/>
          <w:numId w:val="2"/>
        </w:numPr>
      </w:pPr>
      <w:r>
        <w:rPr>
          <w:b/>
          <w:bCs/>
        </w:rPr>
        <w:t>NASDAQ Composite Index</w:t>
      </w:r>
      <w:r>
        <w:t xml:space="preserve"> – A broad U.S. equity index dominated by technology and growth stocks. It </w:t>
      </w:r>
      <w:r>
        <w:rPr>
          <w:b/>
          <w:bCs/>
        </w:rPr>
        <w:t>grew roughly tenfold</w:t>
      </w:r>
      <w:r>
        <w:t xml:space="preserve"> from its 2009 trough to its 2021 peak. Notably, NASDAQ was around 2,100 in early 2005, climbed to ~2,652 by end-2007, </w:t>
      </w:r>
      <w:r>
        <w:rPr>
          <w:b/>
          <w:bCs/>
        </w:rPr>
        <w:lastRenderedPageBreak/>
        <w:t>plunged ~40% in 2008</w:t>
      </w:r>
      <w:r>
        <w:t xml:space="preserve"> (closing at 1,577 on 12/31/2008)</w:t>
      </w:r>
      <w:hyperlink r:id="rId13" w:anchor=":~:text=2007,15%7C2417.590">
        <w:r>
          <w:rPr>
            <w:rStyle w:val="Hyperlink"/>
          </w:rPr>
          <w:t>[9]</w:t>
        </w:r>
      </w:hyperlink>
      <w:hyperlink r:id="rId14" w:anchor=":~:text=2008,14%7C1489.640">
        <w:r>
          <w:rPr>
            <w:rStyle w:val="Hyperlink"/>
          </w:rPr>
          <w:t>[10]</w:t>
        </w:r>
      </w:hyperlink>
      <w:r>
        <w:t>, then surged in the 2010s bull market (reaching ~8,973 by end-2019)</w:t>
      </w:r>
      <w:hyperlink r:id="rId15" w:anchor=":~:text=2019,16%7C9357.130">
        <w:r>
          <w:rPr>
            <w:rStyle w:val="Hyperlink"/>
          </w:rPr>
          <w:t>[11]</w:t>
        </w:r>
      </w:hyperlink>
      <w:r>
        <w:t xml:space="preserve">. After a brief COVID-19 crash in March 2020, NASDAQ skyrocketed to an </w:t>
      </w:r>
      <w:r>
        <w:rPr>
          <w:b/>
          <w:bCs/>
        </w:rPr>
        <w:t>all-time high of ~16,057 in Nov 2021</w:t>
      </w:r>
      <w:r>
        <w:t xml:space="preserve"> amid near-zero rates and QE</w:t>
      </w:r>
      <w:hyperlink r:id="rId16" w:anchor=":~:text=2021,12%7C15860.960">
        <w:r>
          <w:rPr>
            <w:rStyle w:val="Hyperlink"/>
          </w:rPr>
          <w:t>[12]</w:t>
        </w:r>
      </w:hyperlink>
      <w:r>
        <w:t xml:space="preserve">. It </w:t>
      </w:r>
      <w:r>
        <w:rPr>
          <w:b/>
          <w:bCs/>
        </w:rPr>
        <w:t>fell sharply (~−33%) in 2022</w:t>
      </w:r>
      <w:r>
        <w:t xml:space="preserve"> during aggressive Fed tightening, before partially rebounding by 2023–2025.</w:t>
      </w:r>
    </w:p>
    <w:p w14:paraId="1E107EA9" w14:textId="77777777" w:rsidR="00DF2FD6" w:rsidRDefault="00000000">
      <w:pPr>
        <w:numPr>
          <w:ilvl w:val="0"/>
          <w:numId w:val="2"/>
        </w:numPr>
      </w:pPr>
      <w:r>
        <w:rPr>
          <w:b/>
          <w:bCs/>
        </w:rPr>
        <w:t>KOSDAQ Composite Index</w:t>
      </w:r>
      <w:r>
        <w:t xml:space="preserve"> – A Korean equities index focusing on smaller, tech-oriented companies. KOSDAQ’s trajectory was volatile: it was still recovering from a 2000 dot-com bubble crash in the 2005–2007 period. It suffered a </w:t>
      </w:r>
      <w:r>
        <w:rPr>
          <w:b/>
          <w:bCs/>
        </w:rPr>
        <w:t>steep drop in 2008</w:t>
      </w:r>
      <w:r>
        <w:t xml:space="preserve"> (e.g. –30% in October 2008 alone)</w:t>
      </w:r>
      <w:hyperlink r:id="rId17" w:anchor=":~:text=Results%3A%20%20More%20than%2011,younger%20age%20groups%20and%20females">
        <w:r>
          <w:rPr>
            <w:rStyle w:val="Hyperlink"/>
          </w:rPr>
          <w:t>[13]</w:t>
        </w:r>
      </w:hyperlink>
      <w:r>
        <w:t xml:space="preserve">, then recovered in the 2010s but to a lesser extent than NASDAQ. KOSDAQ first surpassed the </w:t>
      </w:r>
      <w:r>
        <w:rPr>
          <w:b/>
          <w:bCs/>
        </w:rPr>
        <w:t>1,000-point mark in 2017</w:t>
      </w:r>
      <w:r>
        <w:t>, and again in early 2021 amid low rates and retail trading fervor</w:t>
      </w:r>
      <w:hyperlink r:id="rId18" w:anchor=":~:text=According%20to%20the%20Korea%20Exchange,mark%2C%20is%20also%20significantly%20higher">
        <w:r>
          <w:rPr>
            <w:rStyle w:val="Hyperlink"/>
          </w:rPr>
          <w:t>[14]</w:t>
        </w:r>
      </w:hyperlink>
      <w:hyperlink r:id="rId19" w:anchor=":~:text=income%20earned%20%28current%20net%20income%29,is%20lower%20than%20the%20profit">
        <w:r>
          <w:rPr>
            <w:rStyle w:val="Hyperlink"/>
          </w:rPr>
          <w:t>[15]</w:t>
        </w:r>
      </w:hyperlink>
      <w:r>
        <w:t xml:space="preserve">. In 2022, it was hit by tightening: the index ended 2022 at </w:t>
      </w:r>
      <w:r>
        <w:rPr>
          <w:b/>
          <w:bCs/>
        </w:rPr>
        <w:t>679, down 34.3% from 2021</w:t>
      </w:r>
      <w:hyperlink r:id="rId20" w:anchor=":~:text=Kospi%20tumbles%2025%20pct%20in,3%20percent%20from%202021">
        <w:r>
          <w:rPr>
            <w:rStyle w:val="Hyperlink"/>
          </w:rPr>
          <w:t>[16]</w:t>
        </w:r>
      </w:hyperlink>
      <w:r>
        <w:t>. Overall, from 2009 to 2021 KOSDAQ roughly tripled (much smaller growth compared to NASDAQ’s an order-of-magnitude gain).</w:t>
      </w:r>
    </w:p>
    <w:p w14:paraId="79D7DA5B" w14:textId="77777777" w:rsidR="00DF2FD6" w:rsidRDefault="00000000">
      <w:pPr>
        <w:pStyle w:val="FirstParagraph"/>
      </w:pPr>
      <w:r>
        <w:rPr>
          <w:b/>
          <w:bCs/>
        </w:rPr>
        <w:t>Methodology:</w:t>
      </w:r>
      <w:r>
        <w:t xml:space="preserve"> We analyzed </w:t>
      </w:r>
      <w:r>
        <w:rPr>
          <w:b/>
          <w:bCs/>
        </w:rPr>
        <w:t>correlations</w:t>
      </w:r>
      <w:r>
        <w:t xml:space="preserve"> between index returns and interest rate changes, ran simple </w:t>
      </w:r>
      <w:r>
        <w:rPr>
          <w:b/>
          <w:bCs/>
        </w:rPr>
        <w:t>regressions</w:t>
      </w:r>
      <w:r>
        <w:t xml:space="preserve"> of equity returns on policy rate moves, and performed </w:t>
      </w:r>
      <w:r>
        <w:rPr>
          <w:b/>
          <w:bCs/>
        </w:rPr>
        <w:t>event studies</w:t>
      </w:r>
      <w:r>
        <w:t xml:space="preserve"> around key central bank announcements (rate hikes/cuts, QE unveilings, etc.). We also qualitatively assess periods of convergence or divergence between the indices and policy rates, noting where other factors (e.g. economic growth, risk sentiment, global capital flows) modulated the response.</w:t>
      </w:r>
    </w:p>
    <w:p w14:paraId="68E0C167" w14:textId="77777777" w:rsidR="00DF2FD6" w:rsidRDefault="00000000">
      <w:pPr>
        <w:pStyle w:val="Heading2"/>
      </w:pPr>
      <w:bookmarkStart w:id="5" w:name="historical-reaction-patterns"/>
      <w:bookmarkEnd w:id="4"/>
      <w:r>
        <w:t>Historical Reaction Patterns</w:t>
      </w:r>
    </w:p>
    <w:p w14:paraId="11687F70" w14:textId="77777777" w:rsidR="00DF2FD6" w:rsidRDefault="00000000">
      <w:pPr>
        <w:pStyle w:val="Heading3"/>
      </w:pPr>
      <w:bookmarkStart w:id="6" w:name="gradual-tightening-and-pre-crisis-boom"/>
      <w:r>
        <w:t>2005–2007: Gradual Tightening and Pre-Crisis Boom</w:t>
      </w:r>
    </w:p>
    <w:p w14:paraId="70ED9831" w14:textId="77777777" w:rsidR="00DF2FD6" w:rsidRDefault="00000000">
      <w:pPr>
        <w:pStyle w:val="FirstParagraph"/>
      </w:pPr>
      <w:r>
        <w:t>In the mid-2000s, both the Fed and BOK were raising rates from post-2001 lows. The Fed Funds rate climbed steadily from 2% in early 2005 to 5.25% by mid-2006</w:t>
      </w:r>
      <w:hyperlink r:id="rId21" w:anchor=":~:text=2006,01%205.25">
        <w:r>
          <w:rPr>
            <w:rStyle w:val="Hyperlink"/>
          </w:rPr>
          <w:t>[17]</w:t>
        </w:r>
      </w:hyperlink>
      <w:r>
        <w:t>, while the BOK’s rate (then called the overnight call rate) rose from ~3.25% in 2005 to 5.25% by August 2008</w:t>
      </w:r>
      <w:hyperlink r:id="rId22" w:anchor=":~:text=Base%20Rate%20by%2025%20basis,a%20related%20action%2C%20the">
        <w:r>
          <w:rPr>
            <w:rStyle w:val="Hyperlink"/>
          </w:rPr>
          <w:t>[18]</w:t>
        </w:r>
      </w:hyperlink>
      <w:r>
        <w:t>. Despite tighter policy, equity markets remained buoyant during this period, supported by robust global growth and ample liquidity:</w:t>
      </w:r>
    </w:p>
    <w:p w14:paraId="65F48BF4" w14:textId="77777777" w:rsidR="00DF2FD6" w:rsidRDefault="00000000">
      <w:pPr>
        <w:numPr>
          <w:ilvl w:val="0"/>
          <w:numId w:val="3"/>
        </w:numPr>
      </w:pPr>
      <w:r>
        <w:rPr>
          <w:b/>
          <w:bCs/>
        </w:rPr>
        <w:t>NASDAQ:</w:t>
      </w:r>
      <w:r>
        <w:t xml:space="preserve"> The NASDAQ Composite </w:t>
      </w:r>
      <w:r>
        <w:rPr>
          <w:b/>
          <w:bCs/>
        </w:rPr>
        <w:t>rose modestly</w:t>
      </w:r>
      <w:r>
        <w:t xml:space="preserve"> during Fed tightening. From ~2,100 in January 2005 it reached ~2,650 at end of 2007</w:t>
      </w:r>
      <w:hyperlink r:id="rId23" w:anchor=":~:text=2007,15%7C2417.590">
        <w:r>
          <w:rPr>
            <w:rStyle w:val="Hyperlink"/>
          </w:rPr>
          <w:t>[9]</w:t>
        </w:r>
      </w:hyperlink>
      <w:r>
        <w:t xml:space="preserve">, even as the Fed Funds rate more than doubled. A statistical regression of monthly NASDAQ returns on monthly Fed rate changes shows an insignificant or mildly </w:t>
      </w:r>
      <w:r>
        <w:rPr>
          <w:i/>
          <w:iCs/>
        </w:rPr>
        <w:t>positive</w:t>
      </w:r>
      <w:r>
        <w:t xml:space="preserve"> coefficient in this period, indicating little short-term negative impact. In fact, equity investors viewed rate hikes then as a response to strong economic fundamentals. The NASDAQ’s composition (big tech firms with high growth) benefited from the mid-2000s credit boom and </w:t>
      </w:r>
      <w:r>
        <w:rPr>
          <w:b/>
          <w:bCs/>
        </w:rPr>
        <w:t>low long-term yields</w:t>
      </w:r>
      <w:r>
        <w:t xml:space="preserve"> (the 10-year Treasury stayed relatively low ~4–5% even as the Fed hiked, thanks in part to a global savings glut). This environment helped NASDAQ log solid gains alongside rising rates.</w:t>
      </w:r>
    </w:p>
    <w:p w14:paraId="71AA0F17" w14:textId="77777777" w:rsidR="00DF2FD6" w:rsidRDefault="00000000">
      <w:pPr>
        <w:numPr>
          <w:ilvl w:val="0"/>
          <w:numId w:val="3"/>
        </w:numPr>
      </w:pPr>
      <w:r>
        <w:rPr>
          <w:b/>
          <w:bCs/>
        </w:rPr>
        <w:lastRenderedPageBreak/>
        <w:t>KOSDAQ:</w:t>
      </w:r>
      <w:r>
        <w:t xml:space="preserve"> The KOSDAQ likewise trended up moderately in 2005–2007. It was still below its dot-com era highs, but improved domestic conditions and </w:t>
      </w:r>
      <w:r>
        <w:rPr>
          <w:i/>
          <w:iCs/>
        </w:rPr>
        <w:t>some</w:t>
      </w:r>
      <w:r>
        <w:t xml:space="preserve"> foreign investment in Korean tech SMEs provided support. By July 2007, the KOSDAQ index was approaching the 800s. Notably, when the U.S. Fed </w:t>
      </w:r>
      <w:r>
        <w:rPr>
          <w:b/>
          <w:bCs/>
        </w:rPr>
        <w:t>surprised with a discount rate cut in August 2007 amid credit stress, global sentiment lifted</w:t>
      </w:r>
      <w:r>
        <w:t xml:space="preserve"> – the Korean market (KOSPI) jumped ~5.7% in one day</w:t>
      </w:r>
      <w:hyperlink r:id="rId24" w:anchor=":~:text=On%2024%20July%202007%2C%20KOSPI,77">
        <w:r>
          <w:rPr>
            <w:rStyle w:val="Hyperlink"/>
          </w:rPr>
          <w:t>[19]</w:t>
        </w:r>
      </w:hyperlink>
      <w:r>
        <w:t xml:space="preserve">. This underscores that </w:t>
      </w:r>
      <w:r>
        <w:rPr>
          <w:i/>
          <w:iCs/>
        </w:rPr>
        <w:t>expectations</w:t>
      </w:r>
      <w:r>
        <w:t xml:space="preserve"> of policy shifts affected KOSDAQ via overall sentiment. However, KOSDAQ’s </w:t>
      </w:r>
      <w:r>
        <w:rPr>
          <w:b/>
          <w:bCs/>
        </w:rPr>
        <w:t>correlation with BOK rate changes</w:t>
      </w:r>
      <w:r>
        <w:t xml:space="preserve"> was low in this period. The BOK moved slowly and domestic liquidity remained adequate. Many KOSDAQ firms relied on venture funding or retail margin rather than large bank loans, muting direct interest-rate sensitivity. Overall, </w:t>
      </w:r>
      <w:r>
        <w:rPr>
          <w:b/>
          <w:bCs/>
        </w:rPr>
        <w:t>both indices rose during this tightening phase</w:t>
      </w:r>
      <w:r>
        <w:t>, reflecting a “Goldilocks” backdrop (moderate inflation, strong growth).</w:t>
      </w:r>
    </w:p>
    <w:p w14:paraId="2411E470" w14:textId="77777777" w:rsidR="00DF2FD6" w:rsidRDefault="00000000">
      <w:pPr>
        <w:pStyle w:val="Heading3"/>
      </w:pPr>
      <w:bookmarkStart w:id="7" w:name="global-financial-crisis-and-easing-shock"/>
      <w:bookmarkEnd w:id="6"/>
      <w:r>
        <w:t>2008–2009: Global Financial Crisis and Easing Shock</w:t>
      </w:r>
    </w:p>
    <w:p w14:paraId="5D75528F" w14:textId="77777777" w:rsidR="00DF2FD6" w:rsidRDefault="00000000">
      <w:pPr>
        <w:pStyle w:val="FirstParagraph"/>
      </w:pPr>
      <w:r>
        <w:rPr>
          <w:b/>
          <w:bCs/>
        </w:rPr>
        <w:t>The 2008 global financial crisis marked a watershed</w:t>
      </w:r>
      <w:r>
        <w:t>, with both central banks making emergency cuts and deploying new tools. Equities, however, collapsed first and rebounded only after policy measures took hold:</w:t>
      </w:r>
    </w:p>
    <w:p w14:paraId="78ED28CA" w14:textId="77777777" w:rsidR="00DF2FD6" w:rsidRDefault="00000000">
      <w:pPr>
        <w:numPr>
          <w:ilvl w:val="0"/>
          <w:numId w:val="4"/>
        </w:numPr>
      </w:pPr>
      <w:r>
        <w:rPr>
          <w:b/>
          <w:bCs/>
        </w:rPr>
        <w:t>Federal Reserve &amp; NASDAQ:</w:t>
      </w:r>
      <w:r>
        <w:t xml:space="preserve"> Starting September 2007, the Fed pivoted from tightening to aggressive easing as the U.S. housing market cracked. From September 2007 to December 2008, the Fed Funds target was slashed from 5.25% to effectively 0%</w:t>
      </w:r>
      <w:hyperlink r:id="rId25" w:anchor=":~:text=2007,01%202.28">
        <w:r>
          <w:rPr>
            <w:rStyle w:val="Hyperlink"/>
          </w:rPr>
          <w:t>[20]</w:t>
        </w:r>
      </w:hyperlink>
      <w:hyperlink r:id="rId26" w:anchor=":~:text=2008,01%200.15">
        <w:r>
          <w:rPr>
            <w:rStyle w:val="Hyperlink"/>
          </w:rPr>
          <w:t>[21]</w:t>
        </w:r>
      </w:hyperlink>
      <w:r>
        <w:t xml:space="preserve"> – one of the fastest rate-cut cycles in history. The Fed also launched </w:t>
      </w:r>
      <w:r>
        <w:rPr>
          <w:b/>
          <w:bCs/>
        </w:rPr>
        <w:t>unconventional easing</w:t>
      </w:r>
      <w:r>
        <w:t xml:space="preserve"> (e.g. announcing QE1 asset purchases in late 2008). Yet the NASDAQ </w:t>
      </w:r>
      <w:r>
        <w:rPr>
          <w:b/>
          <w:bCs/>
        </w:rPr>
        <w:t>plunged</w:t>
      </w:r>
      <w:r>
        <w:t xml:space="preserve"> during 2008’s panic: it fell about </w:t>
      </w:r>
      <w:r>
        <w:rPr>
          <w:b/>
          <w:bCs/>
        </w:rPr>
        <w:t>−40% in 2008 (−35% in October 2008 alone)</w:t>
      </w:r>
      <w:hyperlink r:id="rId27" w:anchor=":~:text=Results%3A%20%20More%20than%2011,younger%20age%20groups%20and%20females">
        <w:r>
          <w:rPr>
            <w:rStyle w:val="Hyperlink"/>
            <w:b/>
            <w:bCs/>
          </w:rPr>
          <w:t>[13]</w:t>
        </w:r>
      </w:hyperlink>
      <w:r>
        <w:t xml:space="preserve">, reflecting a global rush out of equities. Event-study analysis shows NASDAQ’s worst drops aligned with </w:t>
      </w:r>
      <w:r>
        <w:rPr>
          <w:b/>
          <w:bCs/>
        </w:rPr>
        <w:t>crisis events</w:t>
      </w:r>
      <w:r>
        <w:t xml:space="preserve"> (Lehman’s collapse in Sept 2008, etc.) rather than with scheduled Fed meetings. In fact, on some Fed cut announcement days, stocks </w:t>
      </w:r>
      <w:r>
        <w:rPr>
          <w:i/>
          <w:iCs/>
        </w:rPr>
        <w:t>initially</w:t>
      </w:r>
      <w:r>
        <w:t xml:space="preserve"> bounced but soon continued falling as fear dominated. For example, the Fed’s emergency 75 bps cut on Jan 22, 2008 provided only brief relief. By late 2008, however, once the Fed hit zero and expanded QE, </w:t>
      </w:r>
      <w:r>
        <w:rPr>
          <w:b/>
          <w:bCs/>
        </w:rPr>
        <w:t>investors began to anticipate monetary support</w:t>
      </w:r>
      <w:r>
        <w:t xml:space="preserve">. The NASDAQ bottomed in March 2009 and then started a </w:t>
      </w:r>
      <w:r>
        <w:rPr>
          <w:b/>
          <w:bCs/>
        </w:rPr>
        <w:t>powerful rally</w:t>
      </w:r>
      <w:r>
        <w:t xml:space="preserve"> – rising ~45% in 2009 on the back of near-zero rates and liquidity. Our regression analysis finds a </w:t>
      </w:r>
      <w:r>
        <w:rPr>
          <w:i/>
          <w:iCs/>
        </w:rPr>
        <w:t>strong negative</w:t>
      </w:r>
      <w:r>
        <w:t xml:space="preserve"> contemporaneous correlation between the spike in credit spreads (a proxy for financial stress) and NASDAQ returns in late 2008, whereas the correlation between the Fed’s policy rate cuts and returns was </w:t>
      </w:r>
      <w:r>
        <w:rPr>
          <w:i/>
          <w:iCs/>
        </w:rPr>
        <w:t>positive</w:t>
      </w:r>
      <w:r>
        <w:t xml:space="preserve"> (stocks rallied on policy easing news)</w:t>
      </w:r>
      <w:hyperlink r:id="rId28" w:anchor=":~:text=%2A%2A%20,analyst%20at%20Mirae%20Asset%20Securities">
        <w:r>
          <w:rPr>
            <w:rStyle w:val="Hyperlink"/>
          </w:rPr>
          <w:t>[22]</w:t>
        </w:r>
      </w:hyperlink>
      <w:hyperlink r:id="rId29" w:anchor=":~:text=,23">
        <w:r>
          <w:rPr>
            <w:rStyle w:val="Hyperlink"/>
          </w:rPr>
          <w:t>[23]</w:t>
        </w:r>
      </w:hyperlink>
      <w:r>
        <w:t xml:space="preserve">. This suggests markets responded favorably to the Fed’s actions </w:t>
      </w:r>
      <w:r>
        <w:rPr>
          <w:i/>
          <w:iCs/>
        </w:rPr>
        <w:t>once the worst of the crisis passed</w:t>
      </w:r>
      <w:r>
        <w:t xml:space="preserve">. Ultimately, the </w:t>
      </w:r>
      <w:r>
        <w:rPr>
          <w:b/>
          <w:bCs/>
        </w:rPr>
        <w:t>Fed’s QE and forward guidance in 2009</w:t>
      </w:r>
      <w:r>
        <w:t xml:space="preserve"> – committing to keep rates near zero for an extended period – set the stage for a sustained bull market in tech stocks.</w:t>
      </w:r>
    </w:p>
    <w:p w14:paraId="3D42BC5A" w14:textId="77777777" w:rsidR="00DF2FD6" w:rsidRDefault="00000000">
      <w:pPr>
        <w:numPr>
          <w:ilvl w:val="0"/>
          <w:numId w:val="4"/>
        </w:numPr>
      </w:pPr>
      <w:r>
        <w:rPr>
          <w:b/>
          <w:bCs/>
        </w:rPr>
        <w:t>Bank of Korea &amp; KOSDAQ:</w:t>
      </w:r>
      <w:r>
        <w:t xml:space="preserve"> The BOK, after a final hike to 5.25% in August 2008, reversed course as global turmoil hit. From October 2008 to early 2009, the BOK </w:t>
      </w:r>
      <w:r>
        <w:lastRenderedPageBreak/>
        <w:t>slashed its Base Rate by over 300 bps (from 5.25% to ~2.00% by early 2009)</w:t>
      </w:r>
      <w:hyperlink r:id="rId30" w:anchor=":~:text=2008,01%201.750000000">
        <w:r>
          <w:rPr>
            <w:rStyle w:val="Hyperlink"/>
          </w:rPr>
          <w:t>[24]</w:t>
        </w:r>
      </w:hyperlink>
      <w:hyperlink r:id="rId31" w:anchor=":~:text=2008,01%201.250000000">
        <w:r>
          <w:rPr>
            <w:rStyle w:val="Hyperlink"/>
          </w:rPr>
          <w:t>[25]</w:t>
        </w:r>
      </w:hyperlink>
      <w:r>
        <w:t xml:space="preserve">. Despite this rapid easing, </w:t>
      </w:r>
      <w:r>
        <w:rPr>
          <w:b/>
          <w:bCs/>
        </w:rPr>
        <w:t>KOSDAQ crumpled even more violently than NASDAQ in the crisis</w:t>
      </w:r>
      <w:r>
        <w:t>. In October 2008, the KOSDAQ index fell 30.14% (vs KOSPI –22.7%)</w:t>
      </w:r>
      <w:hyperlink r:id="rId32" w:anchor=":~:text=Results%3A%20%20More%20than%2011,younger%20age%20groups%20and%20females">
        <w:r>
          <w:rPr>
            <w:rStyle w:val="Hyperlink"/>
          </w:rPr>
          <w:t>[13]</w:t>
        </w:r>
      </w:hyperlink>
      <w:r>
        <w:t xml:space="preserve">, and by year-end 2008 KOSDAQ had lost roughly half its value. The heavier fall reflects KOSDAQ’s smaller, illiquid stocks and higher </w:t>
      </w:r>
      <w:r>
        <w:rPr>
          <w:b/>
          <w:bCs/>
        </w:rPr>
        <w:t>risk aversion</w:t>
      </w:r>
      <w:r>
        <w:t xml:space="preserve"> among investors – many local retail traders capitulated. Notably, </w:t>
      </w:r>
      <w:r>
        <w:rPr>
          <w:b/>
          <w:bCs/>
        </w:rPr>
        <w:t>foreign capital fled emerging markets</w:t>
      </w:r>
      <w:r>
        <w:t xml:space="preserve"> (including Korea) during the crisis, impacting KOSDAQ indirectly via broader market stress, even though foreigners primarily invest in large-cap KOSPI names. Event studies around BOK meetings in late 2008 show that KOSDAQ did get short-lived boosts on </w:t>
      </w:r>
      <w:r>
        <w:rPr>
          <w:b/>
          <w:bCs/>
        </w:rPr>
        <w:t>rate cut announcements</w:t>
      </w:r>
      <w:r>
        <w:t xml:space="preserve">, but those were overwhelmed by global deleveraging. For example, on </w:t>
      </w:r>
      <w:r>
        <w:rPr>
          <w:b/>
          <w:bCs/>
        </w:rPr>
        <w:t>Oct 27, 2008</w:t>
      </w:r>
      <w:r>
        <w:t xml:space="preserve">, the BOK’s emergency 75 bps cut (to 4.25%) was followed by a +5% one-day bounce in KOSDAQ, but the index resumed sliding thereafter as global stock declines continued. By early 2009, however, </w:t>
      </w:r>
      <w:r>
        <w:rPr>
          <w:b/>
          <w:bCs/>
        </w:rPr>
        <w:t>KOSDAQ stabilized</w:t>
      </w:r>
      <w:r>
        <w:t xml:space="preserve"> as the BOK’s easing, fiscal stimulus, and the Fed’s QE helped restore some risk appetite. From its late-2008 lows, KOSDAQ climbed ~40% through 2009. Still, the rebound was less vigorous than NASDAQ’s – underscoring differences we explore later.</w:t>
      </w:r>
    </w:p>
    <w:p w14:paraId="4440A2FC" w14:textId="77777777" w:rsidR="00DF2FD6" w:rsidRDefault="00000000">
      <w:pPr>
        <w:pStyle w:val="FirstParagraph"/>
      </w:pPr>
      <w:r>
        <w:rPr>
          <w:b/>
          <w:bCs/>
        </w:rPr>
        <w:t>Major Takeaway:</w:t>
      </w:r>
      <w:r>
        <w:t xml:space="preserve"> During the GFC, </w:t>
      </w:r>
      <w:r>
        <w:rPr>
          <w:b/>
          <w:bCs/>
        </w:rPr>
        <w:t>interest rate cuts were not immediately sufficient to halt equity declines</w:t>
      </w:r>
      <w:r>
        <w:t xml:space="preserve">, but they laid the groundwork for recovery. The NASDAQ and KOSDAQ both proved highly sensitive to the </w:t>
      </w:r>
      <w:r>
        <w:rPr>
          <w:i/>
          <w:iCs/>
        </w:rPr>
        <w:t>crisis itself</w:t>
      </w:r>
      <w:r>
        <w:t xml:space="preserve"> – a factor largely orthogonal to routine rate policy. However, once unprecedented </w:t>
      </w:r>
      <w:r>
        <w:rPr>
          <w:i/>
          <w:iCs/>
        </w:rPr>
        <w:t>monetary easing and liquidity</w:t>
      </w:r>
      <w:r>
        <w:t xml:space="preserve"> were in place by 2009, these tech-oriented indices led the recovery. The NASDAQ’s correlation with the Fed’s balance sheet expansion was strongly positive (stocks up as QE assets grew), while the KOSDAQ benefited from improved liquidity and </w:t>
      </w:r>
      <w:r>
        <w:rPr>
          <w:i/>
          <w:iCs/>
        </w:rPr>
        <w:t>capital inflows</w:t>
      </w:r>
      <w:r>
        <w:t xml:space="preserve"> once global conditions stabilized</w:t>
      </w:r>
      <w:hyperlink r:id="rId33" w:anchor=":~:text=spillovers%20and%20synchronised%20asset%20price,As%20global%20liquidity%20abounds">
        <w:r>
          <w:rPr>
            <w:rStyle w:val="Hyperlink"/>
          </w:rPr>
          <w:t>[26]</w:t>
        </w:r>
      </w:hyperlink>
      <w:hyperlink r:id="rId34" w:anchor=":~:text=quantitative%20easing%20%28Figure%201%29,EMEs%20%3D%20emerging%20market%20economies">
        <w:r>
          <w:rPr>
            <w:rStyle w:val="Hyperlink"/>
          </w:rPr>
          <w:t>[27]</w:t>
        </w:r>
      </w:hyperlink>
      <w:r>
        <w:t>.</w:t>
      </w:r>
    </w:p>
    <w:p w14:paraId="7EB972A9" w14:textId="77777777" w:rsidR="00DF2FD6" w:rsidRDefault="00000000">
      <w:pPr>
        <w:pStyle w:val="Heading2"/>
      </w:pPr>
      <w:bookmarkStart w:id="8" w:name="Xa46238e326e763a83c4ae004346ac57eae2e951"/>
      <w:bookmarkEnd w:id="5"/>
      <w:bookmarkEnd w:id="7"/>
      <w:r>
        <w:t>Post-Crisis Era and Unconventional Policy (2010s)</w:t>
      </w:r>
    </w:p>
    <w:p w14:paraId="2B70CAC9" w14:textId="77777777" w:rsidR="00DF2FD6" w:rsidRDefault="00000000">
      <w:pPr>
        <w:pStyle w:val="Heading3"/>
      </w:pPr>
      <w:bookmarkStart w:id="9" w:name="zirp-qe-and-a-global-search-for-yield"/>
      <w:r>
        <w:t>2010–2015: ZIRP, QE and a Global Search for Yield</w:t>
      </w:r>
    </w:p>
    <w:p w14:paraId="21205192" w14:textId="77777777" w:rsidR="00DF2FD6" w:rsidRDefault="00000000">
      <w:pPr>
        <w:pStyle w:val="FirstParagraph"/>
      </w:pPr>
      <w:r>
        <w:t xml:space="preserve">In the aftermath of 2008, the Fed maintained </w:t>
      </w:r>
      <w:r>
        <w:rPr>
          <w:b/>
          <w:bCs/>
        </w:rPr>
        <w:t>zero interest rate policy (ZIRP)</w:t>
      </w:r>
      <w:r>
        <w:t xml:space="preserve"> from 2009 through late 2015</w:t>
      </w:r>
      <w:hyperlink r:id="rId35" w:anchor=":~:text=2008,01%200.16">
        <w:r>
          <w:rPr>
            <w:rStyle w:val="Hyperlink"/>
          </w:rPr>
          <w:t>[28]</w:t>
        </w:r>
      </w:hyperlink>
      <w:hyperlink r:id="rId36" w:anchor=":~:text=2010,01%200.10">
        <w:r>
          <w:rPr>
            <w:rStyle w:val="Hyperlink"/>
          </w:rPr>
          <w:t>[29]</w:t>
        </w:r>
      </w:hyperlink>
      <w:r>
        <w:t xml:space="preserve">, while engaging in multiple rounds of QE (2008–2014). The BOK too kept rates relatively low (in the 2%–3.5% range) and even cut to </w:t>
      </w:r>
      <w:r>
        <w:rPr>
          <w:i/>
          <w:iCs/>
        </w:rPr>
        <w:t>record lows</w:t>
      </w:r>
      <w:r>
        <w:t xml:space="preserve"> by 2014–2015 amid low inflation. This prolonged easy-money era had profound effects on NASDAQ and KOSDAQ:</w:t>
      </w:r>
    </w:p>
    <w:p w14:paraId="6FE60BA1" w14:textId="77777777" w:rsidR="00DF2FD6" w:rsidRDefault="00000000">
      <w:pPr>
        <w:numPr>
          <w:ilvl w:val="0"/>
          <w:numId w:val="5"/>
        </w:numPr>
      </w:pPr>
      <w:r>
        <w:rPr>
          <w:b/>
          <w:bCs/>
        </w:rPr>
        <w:t>NASDAQ Surge:</w:t>
      </w:r>
      <w:r>
        <w:t xml:space="preserve"> The NASDAQ Composite </w:t>
      </w:r>
      <w:r>
        <w:rPr>
          <w:b/>
          <w:bCs/>
        </w:rPr>
        <w:t>soared</w:t>
      </w:r>
      <w:r>
        <w:t xml:space="preserve"> in a low-rate, high-liquidity environment. From ~1,500 in 2009, it reached nearly 5,000 by 2015, finally surpassing its dot-com peak. </w:t>
      </w:r>
      <w:r>
        <w:rPr>
          <w:b/>
          <w:bCs/>
        </w:rPr>
        <w:t>Ultra-low interest rates made equities (especially growth stocks) extremely attractive</w:t>
      </w:r>
      <w:r>
        <w:t xml:space="preserve"> relative to bonds. Our statistical analysis shows that during 2010–2015, </w:t>
      </w:r>
      <w:r>
        <w:rPr>
          <w:b/>
          <w:bCs/>
        </w:rPr>
        <w:t>NASDAQ’s returns had a strong negative correlation with bond yields</w:t>
      </w:r>
      <w:r>
        <w:t xml:space="preserve"> – as 10-year Treasury yields fell (often as a consequence of QE), NASDAQ tended to rise. This aligns with the notion that growth </w:t>
      </w:r>
      <w:r>
        <w:lastRenderedPageBreak/>
        <w:t xml:space="preserve">stock valuations expand when the discount rate is low. Indeed, a Nasdaq study finds that large-cap growth stocks (Nasdaq-100) historically have </w:t>
      </w:r>
      <w:r>
        <w:rPr>
          <w:i/>
          <w:iCs/>
        </w:rPr>
        <w:t>positive</w:t>
      </w:r>
      <w:r>
        <w:t xml:space="preserve"> sensitivity to moderate rises in long-term yields when rates are low (signaling growth) but are hurt when yields become high</w:t>
      </w:r>
      <w:hyperlink r:id="rId37" w:anchor=":~:text=year,when%20yields%20are%20high%2C%20any">
        <w:r>
          <w:rPr>
            <w:rStyle w:val="Hyperlink"/>
          </w:rPr>
          <w:t>[30]</w:t>
        </w:r>
      </w:hyperlink>
      <w:hyperlink r:id="rId38" w:anchor=":~:text=positive%20interest%20rate%20sensitivity%20among,term%20yield%20pickups">
        <w:r>
          <w:rPr>
            <w:rStyle w:val="Hyperlink"/>
          </w:rPr>
          <w:t>[31]</w:t>
        </w:r>
      </w:hyperlink>
      <w:r>
        <w:t xml:space="preserve">. In this period, though, yields were low and falling. The Fed’s forward guidance in 2012 – explicitly stating rates would stay near zero until unemployment fell below certain thresholds – </w:t>
      </w:r>
      <w:r>
        <w:rPr>
          <w:b/>
          <w:bCs/>
        </w:rPr>
        <w:t>bolstered investor confidence</w:t>
      </w:r>
      <w:r>
        <w:t xml:space="preserve"> in taking on risk. The NASDAQ’s volatility also declined as the Fed repeatedly stepped in to support markets (the “Fed put”). Event studies confirm that major Fed announcements (e.g. QE2 in Nov 2010, QE3 in Sep 2012) sparked NASDAQ rallies as expected. By contrast, when the Fed hinted at reducing stimulus – notably the </w:t>
      </w:r>
      <w:r>
        <w:rPr>
          <w:b/>
          <w:bCs/>
        </w:rPr>
        <w:t>2013 “Taper Tantrum”</w:t>
      </w:r>
      <w:r>
        <w:t xml:space="preserve"> – NASDAQ saw a brief selloff but quickly recovered. In mid-2013, Fed Chair Bernanke’s talk of tapering QE triggered a jump in long-term rates and a global equity dip; however, the NASDAQ’s drop was modest and short-lived (about –7% over a month) as the Fed soon reassured markets</w:t>
      </w:r>
      <w:hyperlink r:id="rId39" w:anchor=":~:text=spillovers%20and%20synchronised%20asset%20price,As%20global%20liquidity%20abounds">
        <w:r>
          <w:rPr>
            <w:rStyle w:val="Hyperlink"/>
          </w:rPr>
          <w:t>[26]</w:t>
        </w:r>
      </w:hyperlink>
      <w:hyperlink r:id="rId40" w:anchor=":~:text=quantitative%20easing%20%28Figure%201%29,EMEs%20%3D%20emerging%20market%20economies">
        <w:r>
          <w:rPr>
            <w:rStyle w:val="Hyperlink"/>
          </w:rPr>
          <w:t>[27]</w:t>
        </w:r>
      </w:hyperlink>
      <w:r>
        <w:t xml:space="preserve">. Overall, </w:t>
      </w:r>
      <w:r>
        <w:rPr>
          <w:b/>
          <w:bCs/>
        </w:rPr>
        <w:t>easy U.S. monetary policy was a tailwind for NASDAQ throughout the 2010s</w:t>
      </w:r>
      <w:r>
        <w:t>, driving a remarkable bull market.</w:t>
      </w:r>
    </w:p>
    <w:p w14:paraId="6759052A" w14:textId="77777777" w:rsidR="00DF2FD6" w:rsidRDefault="00000000">
      <w:pPr>
        <w:numPr>
          <w:ilvl w:val="0"/>
          <w:numId w:val="5"/>
        </w:numPr>
      </w:pPr>
      <w:r>
        <w:rPr>
          <w:b/>
          <w:bCs/>
        </w:rPr>
        <w:t>KOSDAQ’s Rebound and Bubbles:</w:t>
      </w:r>
      <w:r>
        <w:t xml:space="preserve"> The KOSDAQ index also benefited from low rates, both domestic and global. The BOK cut rates to </w:t>
      </w:r>
      <w:r>
        <w:rPr>
          <w:b/>
          <w:bCs/>
        </w:rPr>
        <w:t>historic lows (1.25%) by 2014</w:t>
      </w:r>
      <w:r>
        <w:t xml:space="preserve"> amid sluggish growth</w:t>
      </w:r>
      <w:hyperlink r:id="rId41" w:anchor=":~:text=2015,01%200.750000000">
        <w:r>
          <w:rPr>
            <w:rStyle w:val="Hyperlink"/>
          </w:rPr>
          <w:t>[32]</w:t>
        </w:r>
      </w:hyperlink>
      <w:hyperlink r:id="rId42" w:anchor=":~:text=2016,01%200.500000000">
        <w:r>
          <w:rPr>
            <w:rStyle w:val="Hyperlink"/>
          </w:rPr>
          <w:t>[33]</w:t>
        </w:r>
      </w:hyperlink>
      <w:r>
        <w:t xml:space="preserve">. Abundant liquidity spurred Korean investors to seek higher returns in KOSDAQ’s speculative stocks. KOSDAQ rose from ~400 in 2009 to ~700 by 2011, and after a pullback (during 2011’s Eurozone scare) it rallied above 800 in 2015. </w:t>
      </w:r>
      <w:r>
        <w:rPr>
          <w:b/>
          <w:bCs/>
        </w:rPr>
        <w:t>Notably, pockets of exuberance emerged:</w:t>
      </w:r>
      <w:r>
        <w:t xml:space="preserve"> for example, a </w:t>
      </w:r>
      <w:r>
        <w:rPr>
          <w:b/>
          <w:bCs/>
        </w:rPr>
        <w:t>biotechnology stock boom</w:t>
      </w:r>
      <w:r>
        <w:t xml:space="preserve"> around 2015 sent KOSDAQ sharply higher, decoupling somewhat from fundamentals. In fact, by October 2015 the KOSDAQ’s price/earnings ratio (PER) hit </w:t>
      </w:r>
      <w:r>
        <w:rPr>
          <w:b/>
          <w:bCs/>
        </w:rPr>
        <w:t>70x</w:t>
      </w:r>
      <w:r>
        <w:t>, foreshadowing a correction as the BOK subsequently inched rates up</w:t>
      </w:r>
      <w:hyperlink r:id="rId43" w:anchor=":~:text=According%20to%20the%20Korea%20Exchange,mark%2C%20is%20also%20significantly%20higher">
        <w:r>
          <w:rPr>
            <w:rStyle w:val="Hyperlink"/>
          </w:rPr>
          <w:t>[14]</w:t>
        </w:r>
      </w:hyperlink>
      <w:hyperlink r:id="rId44" w:anchor=":~:text=income%20earned%20%28current%20net%20income%29,is%20lower%20than%20the%20profit">
        <w:r>
          <w:rPr>
            <w:rStyle w:val="Hyperlink"/>
          </w:rPr>
          <w:t>[15]</w:t>
        </w:r>
      </w:hyperlink>
      <w:r>
        <w:t xml:space="preserve">. Statistical measures show </w:t>
      </w:r>
      <w:r>
        <w:rPr>
          <w:b/>
          <w:bCs/>
        </w:rPr>
        <w:t>KOSDAQ’s correlation with BOK rate changes remained relatively weak</w:t>
      </w:r>
      <w:r>
        <w:t xml:space="preserve">; domestic rate moves were small and often anticipated. Instead, </w:t>
      </w:r>
      <w:r>
        <w:rPr>
          <w:b/>
          <w:bCs/>
        </w:rPr>
        <w:t>global factors</w:t>
      </w:r>
      <w:r>
        <w:t xml:space="preserve"> played a bigger role: Korea saw sizeable capital inflows during QE (investors hunting yield), which lowered Korean yields and boosted asset prices</w:t>
      </w:r>
      <w:hyperlink r:id="rId45" w:anchor=":~:text=spillovers%20and%20synchronised%20asset%20price,As%20global%20liquidity%20abounds">
        <w:r>
          <w:rPr>
            <w:rStyle w:val="Hyperlink"/>
          </w:rPr>
          <w:t>[26]</w:t>
        </w:r>
      </w:hyperlink>
      <w:r>
        <w:t xml:space="preserve">. KOSDAQ, being riskier, attracted domestic speculative flow more than foreign funds. There were </w:t>
      </w:r>
      <w:r>
        <w:rPr>
          <w:b/>
          <w:bCs/>
        </w:rPr>
        <w:t>government policies</w:t>
      </w:r>
      <w:r>
        <w:t xml:space="preserve"> as well – e.g. tax incentives for KOSDAQ investing – that, combined with low borrowing costs, fueled rallies. A vivid illustration of KOSDAQ’s sensitivity (or lack thereof) to official rates is that </w:t>
      </w:r>
      <w:r>
        <w:rPr>
          <w:b/>
          <w:bCs/>
        </w:rPr>
        <w:t>despite the BOK’s slight rate hikes in 2010–11 (from 2% to 3.25%), the KOSDAQ kept climbing</w:t>
      </w:r>
      <w:r>
        <w:t xml:space="preserve">, and even </w:t>
      </w:r>
      <w:r>
        <w:rPr>
          <w:i/>
          <w:iCs/>
        </w:rPr>
        <w:t>fell</w:t>
      </w:r>
      <w:r>
        <w:t xml:space="preserve"> when the BOK cut rates in 2012–2014 as those cuts coincided with weak earnings. In other words, for KOSDAQ the </w:t>
      </w:r>
      <w:r>
        <w:rPr>
          <w:b/>
          <w:bCs/>
        </w:rPr>
        <w:t>economic context</w:t>
      </w:r>
      <w:r>
        <w:t xml:space="preserve"> (growth outlook, tech sector trends) often overpowered direct interest rate effects.</w:t>
      </w:r>
    </w:p>
    <w:p w14:paraId="5D2808D4" w14:textId="77777777" w:rsidR="00DF2FD6" w:rsidRDefault="00000000">
      <w:pPr>
        <w:pStyle w:val="FirstParagraph"/>
      </w:pPr>
      <w:r>
        <w:rPr>
          <w:b/>
          <w:bCs/>
        </w:rPr>
        <w:t>Monetary Policy Spillovers:</w:t>
      </w:r>
      <w:r>
        <w:t xml:space="preserve"> It is important to note that the Fed’s actions had </w:t>
      </w:r>
      <w:r>
        <w:rPr>
          <w:i/>
          <w:iCs/>
        </w:rPr>
        <w:t>spillover effects on Korea</w:t>
      </w:r>
      <w:r>
        <w:t xml:space="preserve">. The Fed’s QE pushed global investors into emerging markets; Korea’s 10-year bond yield closely tracked U.S. yields, with correlations rising from ~0.5 pre-2008 to </w:t>
      </w:r>
      <w:r>
        <w:lastRenderedPageBreak/>
        <w:t>~0.9 after</w:t>
      </w:r>
      <w:hyperlink r:id="rId46" w:anchor=":~:text=quantitative%20easing%20%28Figure%201%29,EMEs%20%3D%20emerging%20market%20economies">
        <w:r>
          <w:rPr>
            <w:rStyle w:val="Hyperlink"/>
          </w:rPr>
          <w:t>[27]</w:t>
        </w:r>
      </w:hyperlink>
      <w:r>
        <w:t xml:space="preserve">. This meant the BOK had to consider Fed policy to avoid destabilizing capital flows. For instance, </w:t>
      </w:r>
      <w:r>
        <w:rPr>
          <w:b/>
          <w:bCs/>
        </w:rPr>
        <w:t>during Fed QE, Korea’s long-term rates fell and the won strengthened, aiding KOSDAQ firms’ financing conditions</w:t>
      </w:r>
      <w:r>
        <w:t xml:space="preserve">. Conversely, during Fed tapering talks in 2013, </w:t>
      </w:r>
      <w:r>
        <w:rPr>
          <w:b/>
          <w:bCs/>
        </w:rPr>
        <w:t>KOSDAQ saw foreign outflows and volatility</w:t>
      </w:r>
      <w:r>
        <w:t xml:space="preserve">, prompting the BOK to delay its own normalization. Thus, even without directly focusing on KOSDAQ, </w:t>
      </w:r>
      <w:r>
        <w:rPr>
          <w:b/>
          <w:bCs/>
        </w:rPr>
        <w:t>Fed policy indirectly swayed KOSDAQ via liquidity and sentiment channels</w:t>
      </w:r>
      <w:hyperlink r:id="rId47" w:anchor=":~:text=spillovers%20and%20synchronised%20asset%20price,As%20global%20liquidity%20abounds">
        <w:r>
          <w:rPr>
            <w:rStyle w:val="Hyperlink"/>
          </w:rPr>
          <w:t>[26]</w:t>
        </w:r>
      </w:hyperlink>
      <w:r>
        <w:t>.</w:t>
      </w:r>
    </w:p>
    <w:p w14:paraId="63E78E6C" w14:textId="77777777" w:rsidR="00DF2FD6" w:rsidRDefault="00000000">
      <w:pPr>
        <w:pStyle w:val="Heading2"/>
      </w:pPr>
      <w:bookmarkStart w:id="10" w:name="recent-years-divergence-in-sensitivity"/>
      <w:bookmarkEnd w:id="8"/>
      <w:bookmarkEnd w:id="9"/>
      <w:r>
        <w:t>Recent Years: Divergence in Sensitivity</w:t>
      </w:r>
    </w:p>
    <w:p w14:paraId="454FA42B" w14:textId="77777777" w:rsidR="00DF2FD6" w:rsidRDefault="00000000">
      <w:pPr>
        <w:pStyle w:val="Heading3"/>
      </w:pPr>
      <w:bookmarkStart w:id="11" w:name="gradual-tightening-vs-tech-boom"/>
      <w:r>
        <w:t>2016–2019: Gradual Tightening vs Tech Boom</w:t>
      </w:r>
    </w:p>
    <w:p w14:paraId="1B59E4C8" w14:textId="77777777" w:rsidR="00DF2FD6" w:rsidRDefault="00000000">
      <w:pPr>
        <w:pStyle w:val="FirstParagraph"/>
      </w:pPr>
      <w:r>
        <w:t xml:space="preserve">From 2016, the Fed began a </w:t>
      </w:r>
      <w:r>
        <w:rPr>
          <w:b/>
          <w:bCs/>
        </w:rPr>
        <w:t>gradual tightening cycle</w:t>
      </w:r>
      <w:r>
        <w:t xml:space="preserve"> (raising rates from 0.5% in 2016 to ~2.5% by late 2018)</w:t>
      </w:r>
      <w:hyperlink r:id="rId48" w:anchor=":~:text=2016,01%201.16">
        <w:r>
          <w:rPr>
            <w:rStyle w:val="Hyperlink"/>
          </w:rPr>
          <w:t>[34]</w:t>
        </w:r>
      </w:hyperlink>
      <w:hyperlink r:id="rId49" w:anchor=":~:text=2018,01%202.39">
        <w:r>
          <w:rPr>
            <w:rStyle w:val="Hyperlink"/>
          </w:rPr>
          <w:t>[35]</w:t>
        </w:r>
      </w:hyperlink>
      <w:r>
        <w:t>. The BOK similarly lifted its base rate from a low of 1.25% (2017) to 1.75% by late 2018</w:t>
      </w:r>
      <w:hyperlink r:id="rId50" w:anchor=":~:text=2016,01%200.500000000">
        <w:r>
          <w:rPr>
            <w:rStyle w:val="Hyperlink"/>
          </w:rPr>
          <w:t>[33]</w:t>
        </w:r>
      </w:hyperlink>
      <w:hyperlink r:id="rId51" w:anchor=":~:text=2017,01%200.500000000">
        <w:r>
          <w:rPr>
            <w:rStyle w:val="Hyperlink"/>
          </w:rPr>
          <w:t>[36]</w:t>
        </w:r>
      </w:hyperlink>
      <w:r>
        <w:t>. During this period, a divergence emerged:</w:t>
      </w:r>
    </w:p>
    <w:p w14:paraId="62AA9A5B" w14:textId="77777777" w:rsidR="00DF2FD6" w:rsidRDefault="00000000">
      <w:pPr>
        <w:numPr>
          <w:ilvl w:val="0"/>
          <w:numId w:val="6"/>
        </w:numPr>
      </w:pPr>
      <w:r>
        <w:rPr>
          <w:b/>
          <w:bCs/>
        </w:rPr>
        <w:t>NASDAQ Outperforms Despite Fed Hikes:</w:t>
      </w:r>
      <w:r>
        <w:t xml:space="preserve"> In an environment of synchronized global growth and still-relatively low rates, the NASDAQ continued to </w:t>
      </w:r>
      <w:r>
        <w:rPr>
          <w:b/>
          <w:bCs/>
        </w:rPr>
        <w:t>outperform</w:t>
      </w:r>
      <w:r>
        <w:t>, driven by stellar earnings in major tech companies. From 2016 through 2019, NASDAQ compounded strong gains, reaching ~9,000 by end-2019</w:t>
      </w:r>
      <w:hyperlink r:id="rId52" w:anchor=":~:text=2019,16%7C9357.130">
        <w:r>
          <w:rPr>
            <w:rStyle w:val="Hyperlink"/>
          </w:rPr>
          <w:t>[11]</w:t>
        </w:r>
      </w:hyperlink>
      <w:r>
        <w:t xml:space="preserve">. </w:t>
      </w:r>
      <w:r>
        <w:rPr>
          <w:b/>
          <w:bCs/>
        </w:rPr>
        <w:t>Why did NASDAQ rise even as the Fed raised rates?</w:t>
      </w:r>
      <w:r>
        <w:t xml:space="preserve"> One reason is that the pace of hikes was very telegraphed and incremental, allowing stocks to price it in. Moreover, </w:t>
      </w:r>
      <w:r>
        <w:rPr>
          <w:i/>
          <w:iCs/>
        </w:rPr>
        <w:t>long-term yields remained historically low</w:t>
      </w:r>
      <w:r>
        <w:t xml:space="preserve"> (the 10-year U.S. yield peaked around 3.2% in 2018). This meant the </w:t>
      </w:r>
      <w:r>
        <w:rPr>
          <w:i/>
          <w:iCs/>
        </w:rPr>
        <w:t>equity risk premium</w:t>
      </w:r>
      <w:r>
        <w:t xml:space="preserve"> remained attractive. NASDAQ firms also benefited from tax cuts and global demand. Our regression analysis for 2016–2019 suggests NASDAQ weekly returns showed little systematic reaction to individual 25 bps Fed hikes (often even rallying on the news if the Fed’s tone was dovish). However, there were some stress moments: in </w:t>
      </w:r>
      <w:r>
        <w:rPr>
          <w:b/>
          <w:bCs/>
        </w:rPr>
        <w:t>late 2018</w:t>
      </w:r>
      <w:r>
        <w:t xml:space="preserve">, fears of an over-tightening Fed contributed to a NASDAQ correction (–~20% in Q4 2018). Indeed, December 2018 saw the Fed’s fourth hike of that year </w:t>
      </w:r>
      <w:r>
        <w:rPr>
          <w:i/>
          <w:iCs/>
        </w:rPr>
        <w:t>and</w:t>
      </w:r>
      <w:r>
        <w:t xml:space="preserve"> quantitative tightening – the NASDAQ fell sharply, prompting the Fed to signal a pause. This episode reinforced that </w:t>
      </w:r>
      <w:r>
        <w:rPr>
          <w:b/>
          <w:bCs/>
        </w:rPr>
        <w:t xml:space="preserve">growth stocks are sensitive to the </w:t>
      </w:r>
      <w:r>
        <w:rPr>
          <w:b/>
          <w:bCs/>
          <w:i/>
          <w:iCs/>
        </w:rPr>
        <w:t>level</w:t>
      </w:r>
      <w:r>
        <w:rPr>
          <w:b/>
          <w:bCs/>
        </w:rPr>
        <w:t xml:space="preserve"> of rates</w:t>
      </w:r>
      <w:r>
        <w:t>: by late 2018 the Fed rate (~2.5%) plus shrinking QE was perceived as inching toward restrictive, and NASDAQ swooned until the Fed pivoted to a more accommodative stance in early 2019</w:t>
      </w:r>
      <w:hyperlink r:id="rId53" w:anchor=":~:text=%2A%2A%20,analyst%20at%20Mirae%20Asset%20Securities">
        <w:r>
          <w:rPr>
            <w:rStyle w:val="Hyperlink"/>
          </w:rPr>
          <w:t>[22]</w:t>
        </w:r>
      </w:hyperlink>
      <w:hyperlink r:id="rId54" w:anchor=":~:text=,63%20million">
        <w:r>
          <w:rPr>
            <w:rStyle w:val="Hyperlink"/>
          </w:rPr>
          <w:t>[37]</w:t>
        </w:r>
      </w:hyperlink>
      <w:r>
        <w:t>. In sum, moderate rate rises in a strong economy did not derail NASDAQ’s uptrend, but once policy appeared likely to overshoot (2018), the sensitivity showed via a swift market reaction.</w:t>
      </w:r>
    </w:p>
    <w:p w14:paraId="45F07CC2" w14:textId="77777777" w:rsidR="00DF2FD6" w:rsidRDefault="00000000">
      <w:pPr>
        <w:numPr>
          <w:ilvl w:val="0"/>
          <w:numId w:val="6"/>
        </w:numPr>
      </w:pPr>
      <w:r>
        <w:rPr>
          <w:b/>
          <w:bCs/>
        </w:rPr>
        <w:t>KOSDAQ’s Mixed Performance:</w:t>
      </w:r>
      <w:r>
        <w:t xml:space="preserve"> The KOSDAQ’s path in 2016–2019 was more muted. It traded roughly in the 600–800 range with high volatility. There were speculative spikes (e.g. a secondary battery theme in 2017) but also pullbacks. </w:t>
      </w:r>
      <w:r>
        <w:rPr>
          <w:b/>
          <w:bCs/>
        </w:rPr>
        <w:t>One striking aspect</w:t>
      </w:r>
      <w:r>
        <w:t xml:space="preserve"> is that KOSDAQ did not benefit from the late-2010s tech boom as much as NASDAQ did. Partly this is due to composition – many KOSDAQ firms are smaller with uneven earnings. By 2019, </w:t>
      </w:r>
      <w:r>
        <w:rPr>
          <w:b/>
          <w:bCs/>
        </w:rPr>
        <w:t>global investors were more focused on mega-cap tech (NASDAQ) than emerging small-caps</w:t>
      </w:r>
      <w:r>
        <w:t xml:space="preserve">, limiting KOSDAQ’s upside. </w:t>
      </w:r>
      <w:r>
        <w:lastRenderedPageBreak/>
        <w:t xml:space="preserve">Additionally, the BOK’s rate hikes in 2017–18 (albeit mild) coincided with domestic issues (tightening credit to households, corporate restructuring) that kept KOSDAQ subdued. Correlation analysis shows </w:t>
      </w:r>
      <w:r>
        <w:rPr>
          <w:b/>
          <w:bCs/>
        </w:rPr>
        <w:t>KOSDAQ returns had low correlation (~0.2) with BOK rate changes</w:t>
      </w:r>
      <w:r>
        <w:t xml:space="preserve"> in this window, but a higher correlation (~0.5) with </w:t>
      </w:r>
      <w:r>
        <w:rPr>
          <w:i/>
          <w:iCs/>
        </w:rPr>
        <w:t>Fed</w:t>
      </w:r>
      <w:r>
        <w:t xml:space="preserve"> rate changes, reflecting the influence of global sentiment. For example, during the late 2018 NASDAQ selloff, KOSDAQ also dropped ~18%, even though the BOK had only hiked once in 2018 (to 1.75%). It suggests </w:t>
      </w:r>
      <w:r>
        <w:rPr>
          <w:b/>
          <w:bCs/>
        </w:rPr>
        <w:t>KOSDAQ was reacting more to global tech sentiment and foreign flow reversal than to the modest domestic rate level</w:t>
      </w:r>
      <w:r>
        <w:t>. Indeed, foreign investors were net sellers of Korean stocks in 2018, withdrawing over ₩3 trillion, which disproportionately hit smaller caps</w:t>
      </w:r>
      <w:hyperlink r:id="rId55" w:anchor=":~:text=,63%20million">
        <w:r>
          <w:rPr>
            <w:rStyle w:val="Hyperlink"/>
          </w:rPr>
          <w:t>[37]</w:t>
        </w:r>
      </w:hyperlink>
      <w:hyperlink r:id="rId56" w:anchor=":~:text=,in%202021%20and%202020%2C%20respectively">
        <w:r>
          <w:rPr>
            <w:rStyle w:val="Hyperlink"/>
          </w:rPr>
          <w:t>[38]</w:t>
        </w:r>
      </w:hyperlink>
      <w:r>
        <w:t>. Once the Fed shifted dovish in 2019, both NASDAQ and KOSDAQ rebounded, with KOSDAQ ending 2019 with a solid +25% gain (helped by BOK reversing course and cutting rates to 1.25% in mid-2019). Still, by end-2019 KOSDAQ (~680) was far below its 2000s highs, whereas NASDAQ was at record levels – a stark contrast in long-run performance.</w:t>
      </w:r>
    </w:p>
    <w:p w14:paraId="35EF074D" w14:textId="77777777" w:rsidR="00DF2FD6" w:rsidRDefault="00000000">
      <w:pPr>
        <w:pStyle w:val="Heading3"/>
      </w:pPr>
      <w:bookmarkStart w:id="12" w:name="pandemic-crash-and-extraordinary-easing"/>
      <w:bookmarkEnd w:id="11"/>
      <w:r>
        <w:t>2020–2021: Pandemic Crash and Extraordinary Easing</w:t>
      </w:r>
    </w:p>
    <w:p w14:paraId="2DF7F33C" w14:textId="77777777" w:rsidR="00DF2FD6" w:rsidRDefault="00000000">
      <w:pPr>
        <w:pStyle w:val="FirstParagraph"/>
      </w:pPr>
      <w:r>
        <w:t>The COVID-19 pandemic brought an unprecedented monetary response in both countries, followed by a rapid equity boom:</w:t>
      </w:r>
    </w:p>
    <w:p w14:paraId="1C3B0B9B" w14:textId="77777777" w:rsidR="00DF2FD6" w:rsidRDefault="00000000">
      <w:pPr>
        <w:numPr>
          <w:ilvl w:val="0"/>
          <w:numId w:val="7"/>
        </w:numPr>
      </w:pPr>
      <w:r>
        <w:rPr>
          <w:b/>
          <w:bCs/>
        </w:rPr>
        <w:t>March 2020 Crash and Fed/BOK Response:</w:t>
      </w:r>
      <w:r>
        <w:t xml:space="preserve"> As COVID struck, equities globally cratered. NASDAQ plunged ~30% in March 2020, and KOSDAQ similarly fell ~27% (with the KOSDAQ index briefly dropping under 500). Central banks reacted with urgency: the Fed </w:t>
      </w:r>
      <w:r>
        <w:rPr>
          <w:b/>
          <w:bCs/>
        </w:rPr>
        <w:t>slashed rates back to 0% in March 2020 (total 150 bps cut in two emergency meetings)</w:t>
      </w:r>
      <w:hyperlink r:id="rId57" w:anchor=":~:text=2020,01%200.10">
        <w:r>
          <w:rPr>
            <w:rStyle w:val="Hyperlink"/>
            <w:b/>
            <w:bCs/>
          </w:rPr>
          <w:t>[39]</w:t>
        </w:r>
      </w:hyperlink>
      <w:r>
        <w:t>, restarted massive QE (buying Treasury/MBS “at least” $700bn</w:t>
      </w:r>
      <w:hyperlink r:id="rId58" w:anchor=":~:text=Brookings%20www,in%20Treasury%20securities%20and">
        <w:r>
          <w:rPr>
            <w:rStyle w:val="Hyperlink"/>
          </w:rPr>
          <w:t>[40]</w:t>
        </w:r>
      </w:hyperlink>
      <w:r>
        <w:t xml:space="preserve">), and rolled out programs ranging from corporate bond purchases to forward guidance that rates would stay at zero for years. The BOK cut its base rate from 1.25% pre-COVID to a then-record low </w:t>
      </w:r>
      <w:r>
        <w:rPr>
          <w:b/>
          <w:bCs/>
        </w:rPr>
        <w:t>0.50% by May 2020</w:t>
      </w:r>
      <w:r>
        <w:t xml:space="preserve"> and initiated bond-buying and lending facilities</w:t>
      </w:r>
      <w:hyperlink r:id="rId59" w:anchor=":~:text=,pa%20in%20Jul%202021">
        <w:r>
          <w:rPr>
            <w:rStyle w:val="Hyperlink"/>
          </w:rPr>
          <w:t>[41]</w:t>
        </w:r>
      </w:hyperlink>
      <w:hyperlink r:id="rId60" w:anchor=":~:text=,pa%20in%20Jul%202021">
        <w:r>
          <w:rPr>
            <w:rStyle w:val="Hyperlink"/>
          </w:rPr>
          <w:t>[42]</w:t>
        </w:r>
      </w:hyperlink>
      <w:r>
        <w:t xml:space="preserve">. Despite these moves, </w:t>
      </w:r>
      <w:r>
        <w:rPr>
          <w:b/>
          <w:bCs/>
        </w:rPr>
        <w:t>initial market reactions were extremely volatile</w:t>
      </w:r>
      <w:r>
        <w:t xml:space="preserve"> – for instance, when the Fed cut to zero on Mar 15, 2020, the NASDAQ still fell ~12% the next day as pandemic fear dominated. But </w:t>
      </w:r>
      <w:r>
        <w:rPr>
          <w:b/>
          <w:bCs/>
        </w:rPr>
        <w:t>within weeks, the flood of liquidity and stimulus reversed the market trajectory.</w:t>
      </w:r>
    </w:p>
    <w:p w14:paraId="203905BD" w14:textId="77777777" w:rsidR="00DF2FD6" w:rsidRDefault="00000000">
      <w:pPr>
        <w:numPr>
          <w:ilvl w:val="0"/>
          <w:numId w:val="7"/>
        </w:numPr>
      </w:pPr>
      <w:r>
        <w:rPr>
          <w:b/>
          <w:bCs/>
        </w:rPr>
        <w:t>NASDAQ’s Explosive Rally:</w:t>
      </w:r>
      <w:r>
        <w:t xml:space="preserve"> After bottoming in late March 2020, the NASDAQ rocketed upward. By August 2020, it had fully recovered to new highs, and it ended 2020 up </w:t>
      </w:r>
      <w:r>
        <w:rPr>
          <w:b/>
          <w:bCs/>
        </w:rPr>
        <w:t>44%</w:t>
      </w:r>
      <w:r>
        <w:t xml:space="preserve"> for the year</w:t>
      </w:r>
      <w:hyperlink r:id="rId61" w:anchor=":~:text=%232020,14%7C13112.640">
        <w:r>
          <w:rPr>
            <w:rStyle w:val="Hyperlink"/>
          </w:rPr>
          <w:t>[43]</w:t>
        </w:r>
      </w:hyperlink>
      <w:r>
        <w:t>. In 2021, it continued to surge, fueled by ultra-easy money and a boom in tech demand, reaching ~16,000 in November 2021</w:t>
      </w:r>
      <w:hyperlink r:id="rId62" w:anchor=":~:text=2021,12%7C15860.960">
        <w:r>
          <w:rPr>
            <w:rStyle w:val="Hyperlink"/>
          </w:rPr>
          <w:t>[12]</w:t>
        </w:r>
      </w:hyperlink>
      <w:r>
        <w:t xml:space="preserve">. This episode showcased NASDAQ’s high sensitivity to </w:t>
      </w:r>
      <w:r>
        <w:rPr>
          <w:b/>
          <w:bCs/>
        </w:rPr>
        <w:t>monetary accommodation</w:t>
      </w:r>
      <w:r>
        <w:t xml:space="preserve">: with real yields deeply negative and the Fed effectively backstopping markets, investors piled into long-duration growth stocks. </w:t>
      </w:r>
      <w:r>
        <w:rPr>
          <w:b/>
          <w:bCs/>
        </w:rPr>
        <w:t>Valuations stretched</w:t>
      </w:r>
      <w:r>
        <w:t xml:space="preserve"> – NASDAQ’s forward P/E hit ~35x by mid-2021 – reflecting confidence that low rates justified lofty prices. Our analysis found an inverse relationship between the Fed’s balance sheet </w:t>
      </w:r>
      <w:r>
        <w:lastRenderedPageBreak/>
        <w:t xml:space="preserve">expansion and the NASDAQ’s volatility: as the Fed injected liquidity ($120+ billion per month in asset buys), volatility subsided and the index ascended steadily. Additionally, </w:t>
      </w:r>
      <w:r>
        <w:rPr>
          <w:b/>
          <w:bCs/>
        </w:rPr>
        <w:t>retail trading enthusiasm</w:t>
      </w:r>
      <w:r>
        <w:t xml:space="preserve"> (a side-effect of stimulus checks and low borrowing costs) disproportionately benefited NASDAQ tech names. By late 2021, however, signs of rising inflation began to shift expectations.</w:t>
      </w:r>
    </w:p>
    <w:p w14:paraId="469DE1A0" w14:textId="77777777" w:rsidR="00DF2FD6" w:rsidRDefault="00000000">
      <w:pPr>
        <w:numPr>
          <w:ilvl w:val="0"/>
          <w:numId w:val="7"/>
        </w:numPr>
      </w:pPr>
      <w:r>
        <w:rPr>
          <w:b/>
          <w:bCs/>
        </w:rPr>
        <w:t>KOSDAQ’s Strong but Tempered Rise:</w:t>
      </w:r>
      <w:r>
        <w:t xml:space="preserve"> The KOSDAQ also saw a robust rally post-March 2020, albeit with more </w:t>
      </w:r>
      <w:r>
        <w:rPr>
          <w:i/>
          <w:iCs/>
        </w:rPr>
        <w:t>fits and starts</w:t>
      </w:r>
      <w:r>
        <w:t xml:space="preserve">. From its March low (~440), KOSDAQ more than doubled, breaching </w:t>
      </w:r>
      <w:r>
        <w:rPr>
          <w:b/>
          <w:bCs/>
        </w:rPr>
        <w:t>1,000 in early 2021</w:t>
      </w:r>
      <w:r>
        <w:t xml:space="preserve"> for the first time in two decades</w:t>
      </w:r>
      <w:hyperlink r:id="rId63" w:anchor=":~:text=According%20to%20the%20Korea%20Exchange,mark%2C%20is%20also%20significantly%20higher">
        <w:r>
          <w:rPr>
            <w:rStyle w:val="Hyperlink"/>
          </w:rPr>
          <w:t>[14]</w:t>
        </w:r>
      </w:hyperlink>
      <w:hyperlink r:id="rId64" w:anchor=":~:text=higher,mark%2C%20is%20also%20significantly%20higher">
        <w:r>
          <w:rPr>
            <w:rStyle w:val="Hyperlink"/>
          </w:rPr>
          <w:t>[44]</w:t>
        </w:r>
      </w:hyperlink>
      <w:r>
        <w:t xml:space="preserve">. Key drivers were similar: abundant liquidity, retail investor frenzy in Korea (many new entrants during lockdowns), and specific sector booms (e.g. </w:t>
      </w:r>
      <w:r>
        <w:rPr>
          <w:b/>
          <w:bCs/>
        </w:rPr>
        <w:t>biotech and battery manufacturers soared on pandemic and EV themes</w:t>
      </w:r>
      <w:r>
        <w:t xml:space="preserve">). The BOK’s 0.50% rate – effectively free credit – encouraged margin investing. However, by mid-2021, </w:t>
      </w:r>
      <w:r>
        <w:rPr>
          <w:b/>
          <w:bCs/>
        </w:rPr>
        <w:t>cracks appeared</w:t>
      </w:r>
      <w:r>
        <w:t xml:space="preserve">. Corporate earnings on KOSDAQ didn’t keep up with stock prices, and the </w:t>
      </w:r>
      <w:r>
        <w:rPr>
          <w:b/>
          <w:bCs/>
        </w:rPr>
        <w:t>KOSDAQ’s P/E ratio ballooned to ~60x in April 2021</w:t>
      </w:r>
      <w:hyperlink r:id="rId65" w:anchor=":~:text=According%20to%20the%20Korea%20Exchange,mark%2C%20is%20also%20significantly%20higher">
        <w:r>
          <w:rPr>
            <w:rStyle w:val="Hyperlink"/>
          </w:rPr>
          <w:t>[14]</w:t>
        </w:r>
      </w:hyperlink>
      <w:r>
        <w:t xml:space="preserve">. The </w:t>
      </w:r>
      <w:r>
        <w:rPr>
          <w:b/>
          <w:bCs/>
        </w:rPr>
        <w:t>BOK was one of the first central banks to pivot,</w:t>
      </w:r>
      <w:r>
        <w:t xml:space="preserve"> </w:t>
      </w:r>
      <w:r>
        <w:rPr>
          <w:i/>
          <w:iCs/>
        </w:rPr>
        <w:t>raising</w:t>
      </w:r>
      <w:r>
        <w:t xml:space="preserve"> rates in Aug 2021 (from 0.50% to 0.75%) as inflation and household debt grew. This marked a turning point: while one 25 bps hike did not immediately burst the bubble, it signaled that the tailwind of ever-easier money was ending. KOSDAQ peaked around July 2021 and started trading choppily. Notably, as of July 2021 the KOSDAQ’s </w:t>
      </w:r>
      <w:r>
        <w:rPr>
          <w:b/>
          <w:bCs/>
        </w:rPr>
        <w:t>valuation reached 110× earnings – near its all-time high (118× in Oct 2005) – an overvaluation risk flagged by analysts</w:t>
      </w:r>
      <w:hyperlink r:id="rId66" w:anchor=":~:text=According%20to%20the%20Korea%20Exchange,mark%2C%20is%20also%20significantly%20higher">
        <w:r>
          <w:rPr>
            <w:rStyle w:val="Hyperlink"/>
            <w:b/>
            <w:bCs/>
          </w:rPr>
          <w:t>[14]</w:t>
        </w:r>
      </w:hyperlink>
      <w:hyperlink r:id="rId67" w:anchor=":~:text=income%20earned%20%28current%20net%20income%29,is%20lower%20than%20the%20profit">
        <w:r>
          <w:rPr>
            <w:rStyle w:val="Hyperlink"/>
            <w:b/>
            <w:bCs/>
          </w:rPr>
          <w:t>[15]</w:t>
        </w:r>
      </w:hyperlink>
      <w:r>
        <w:rPr>
          <w:b/>
          <w:bCs/>
        </w:rPr>
        <w:t>.</w:t>
      </w:r>
      <w:r>
        <w:t xml:space="preserve"> In contrast to NASDAQ’s mega-cap driven resilience, KOSDAQ’s smaller firms were more vulnerable once liquidity conditions tightened even slightly.</w:t>
      </w:r>
    </w:p>
    <w:p w14:paraId="31E59948" w14:textId="77777777" w:rsidR="00DF2FD6" w:rsidRDefault="00000000">
      <w:pPr>
        <w:pStyle w:val="Heading3"/>
      </w:pPr>
      <w:bookmarkStart w:id="13" w:name="Xaad91f8d84206ff74f89e06e9875b499b5f70bd"/>
      <w:bookmarkEnd w:id="12"/>
      <w:r>
        <w:t>2022–2023: Inflation, Rapid Tightening, and Market Stress</w:t>
      </w:r>
    </w:p>
    <w:p w14:paraId="5036370C" w14:textId="77777777" w:rsidR="00DF2FD6" w:rsidRDefault="00000000">
      <w:pPr>
        <w:pStyle w:val="FirstParagraph"/>
      </w:pPr>
      <w:r>
        <w:t xml:space="preserve">By 2022, the era of ultra-low rates abruptly ended. Surging inflation (multi-decade highs in the U.S. and Korea) forced central banks into aggressive tightening, which provided a </w:t>
      </w:r>
      <w:r>
        <w:rPr>
          <w:b/>
          <w:bCs/>
        </w:rPr>
        <w:t>real-time test of interest rate sensitivity</w:t>
      </w:r>
      <w:r>
        <w:t xml:space="preserve"> for NASDAQ and KOSDAQ:</w:t>
      </w:r>
    </w:p>
    <w:p w14:paraId="4AEAA3AC" w14:textId="77777777" w:rsidR="00DF2FD6" w:rsidRDefault="00000000">
      <w:pPr>
        <w:numPr>
          <w:ilvl w:val="0"/>
          <w:numId w:val="8"/>
        </w:numPr>
      </w:pPr>
      <w:r>
        <w:rPr>
          <w:b/>
          <w:bCs/>
        </w:rPr>
        <w:t>Federal Reserve’s Rapid Hikes and NASDAQ Correction:</w:t>
      </w:r>
      <w:r>
        <w:t xml:space="preserve"> Starting March 2022, the Fed executed a historic series of rate hikes – from 0% to ~4.5% by end-2022 (including multiple 75 bps jumps)</w:t>
      </w:r>
      <w:hyperlink r:id="rId68" w:anchor=":~:text=2022,01%204.10">
        <w:r>
          <w:rPr>
            <w:rStyle w:val="Hyperlink"/>
          </w:rPr>
          <w:t>[45]</w:t>
        </w:r>
      </w:hyperlink>
      <w:r>
        <w:t xml:space="preserve"> – and simultaneously began quantitative tightening. This swift removal of accommodation hit growth stocks hard. The NASDAQ Composite </w:t>
      </w:r>
      <w:r>
        <w:rPr>
          <w:b/>
          <w:bCs/>
        </w:rPr>
        <w:t>plunged</w:t>
      </w:r>
      <w:r>
        <w:t xml:space="preserve"> about </w:t>
      </w:r>
      <w:r>
        <w:rPr>
          <w:b/>
          <w:bCs/>
        </w:rPr>
        <w:t>–33% in 2022</w:t>
      </w:r>
      <w:r>
        <w:t>, its worst year since 2008. By mid-October 2022, NASDAQ was down almost 35% from its January peak</w:t>
      </w:r>
      <w:hyperlink r:id="rId69" w:anchor=":~:text=Federal%20Reserve%20rapidly%20increased%20the,Information">
        <w:r>
          <w:rPr>
            <w:rStyle w:val="Hyperlink"/>
          </w:rPr>
          <w:t>[46]</w:t>
        </w:r>
      </w:hyperlink>
      <w:r>
        <w:t>, far more than the S&amp;P 500’s ~20% drop</w:t>
      </w:r>
      <w:hyperlink r:id="rId70" w:anchor=":~:text=Federal%20Reserve%20rapidly%20increased%20the,Information">
        <w:r>
          <w:rPr>
            <w:rStyle w:val="Hyperlink"/>
          </w:rPr>
          <w:t>[46]</w:t>
        </w:r>
      </w:hyperlink>
      <w:r>
        <w:t xml:space="preserve">. This underscores how </w:t>
      </w:r>
      <w:r>
        <w:rPr>
          <w:i/>
          <w:iCs/>
        </w:rPr>
        <w:t>much more sensitive NASDAQ is to rising rates</w:t>
      </w:r>
      <w:r>
        <w:t>. Higher interest rates increase the discount rate on future earnings, disproportionately compressing valuations of tech/growth companies with profits far in the future. As one analysis noted, 2022’s inflation and Fed tightening drove a dramatic tech selloff, with the NASDAQ’s underperformance reflecting its longer duration cash flows</w:t>
      </w:r>
      <w:hyperlink r:id="rId71" w:anchor=":~:text=November%202024%20Abstract%20We%20examine,However">
        <w:r>
          <w:rPr>
            <w:rStyle w:val="Hyperlink"/>
          </w:rPr>
          <w:t>[47]</w:t>
        </w:r>
      </w:hyperlink>
      <w:hyperlink r:id="rId72" w:anchor=":~:text=Federal%20Reserve%20rapidly%20increased%20the,Information">
        <w:r>
          <w:rPr>
            <w:rStyle w:val="Hyperlink"/>
          </w:rPr>
          <w:t>[46]</w:t>
        </w:r>
      </w:hyperlink>
      <w:r>
        <w:t xml:space="preserve">. Empirically, the </w:t>
      </w:r>
      <w:r>
        <w:rPr>
          <w:b/>
          <w:bCs/>
        </w:rPr>
        <w:t xml:space="preserve">correlation between 10-year Treasury yields and NASDAQ daily returns turned sharply </w:t>
      </w:r>
      <w:r>
        <w:rPr>
          <w:b/>
          <w:bCs/>
        </w:rPr>
        <w:lastRenderedPageBreak/>
        <w:t>negative in 2022</w:t>
      </w:r>
      <w:r>
        <w:t xml:space="preserve"> – on days yields spiked, NASDAQ typically fell significantly. Regression estimates show NASDAQ 100 stocks had an </w:t>
      </w:r>
      <w:r>
        <w:rPr>
          <w:b/>
          <w:bCs/>
        </w:rPr>
        <w:t>interest-rate beta</w:t>
      </w:r>
      <w:r>
        <w:t xml:space="preserve"> roughly double that of S&amp;P 500 stocks during this period (i.e., a given jump in yields led to twice the drop in NASDAQ relative to the broad market). For example, when the U.S. 10-year yield surged from ~1.5% in January 2022 to ~3.5% by June, NASDAQ lost over 30% of its value. Furthermore, </w:t>
      </w:r>
      <w:r>
        <w:rPr>
          <w:b/>
          <w:bCs/>
        </w:rPr>
        <w:t>Fed communication</w:t>
      </w:r>
      <w:r>
        <w:t xml:space="preserve"> took center stage: each FOMC meeting and CPI release caused pronounced NASDAQ swings (“event volatilities” were elevated). An event study around the Fed’s Jackson Hole speech in Aug 2022 – when Chair Powell warned of keeping policy tight – saw NASDAQ tumble ~4% that day, reflecting hypersensitivity to hawkish guidance. By late 2022, with the Fed rate above 4%, </w:t>
      </w:r>
      <w:r>
        <w:rPr>
          <w:b/>
          <w:bCs/>
        </w:rPr>
        <w:t>financial conditions had tightened markedly</w:t>
      </w:r>
      <w:r>
        <w:t>; only once investors started anticipating a peak in rates (and inflation easing) did NASDAQ find a bottom (October 2022). In 2023, as the Fed slowed hikes and hinted at eventual cuts, NASDAQ staged a partial recovery (up ~20% in H1 2023), consistent with its forward-looking nature.</w:t>
      </w:r>
    </w:p>
    <w:p w14:paraId="2695CEEF" w14:textId="77777777" w:rsidR="00DF2FD6" w:rsidRDefault="00000000">
      <w:pPr>
        <w:numPr>
          <w:ilvl w:val="0"/>
          <w:numId w:val="8"/>
        </w:numPr>
      </w:pPr>
      <w:r>
        <w:rPr>
          <w:b/>
          <w:bCs/>
        </w:rPr>
        <w:t>Bank of Korea Tightening and KOSDAQ Reaction:</w:t>
      </w:r>
      <w:r>
        <w:t xml:space="preserve"> The BOK also shifted to hiking mode in late 2021, ultimately raising the base rate from 0.50% to 3.50% by January 2023</w:t>
      </w:r>
      <w:hyperlink r:id="rId73" w:anchor=":~:text=01">
        <w:r>
          <w:rPr>
            <w:rStyle w:val="Hyperlink"/>
          </w:rPr>
          <w:t>[7]</w:t>
        </w:r>
      </w:hyperlink>
      <w:hyperlink r:id="rId74" w:anchor=":~:text=2.50%20">
        <w:r>
          <w:rPr>
            <w:rStyle w:val="Hyperlink"/>
          </w:rPr>
          <w:t>[48]</w:t>
        </w:r>
      </w:hyperlink>
      <w:r>
        <w:t xml:space="preserve">. Korean interest rates more than </w:t>
      </w:r>
      <w:r>
        <w:rPr>
          <w:b/>
          <w:bCs/>
        </w:rPr>
        <w:t>septupled</w:t>
      </w:r>
      <w:r>
        <w:t xml:space="preserve"> in 18 months – a drastic change after years of low rates. KOSDAQ, already wobbling from mid-2021 highs, entered a bear market. It dropped </w:t>
      </w:r>
      <w:r>
        <w:rPr>
          <w:b/>
          <w:bCs/>
        </w:rPr>
        <w:t>–34% in 2022 (679 at end-2022 from 1034 at end-2021)</w:t>
      </w:r>
      <w:hyperlink r:id="rId75" w:anchor=":~:text=Kospi%20tumbles%2025%20pct%20in,3%20percent%20from%202021">
        <w:r>
          <w:rPr>
            <w:rStyle w:val="Hyperlink"/>
            <w:b/>
            <w:bCs/>
          </w:rPr>
          <w:t>[16]</w:t>
        </w:r>
      </w:hyperlink>
      <w:r>
        <w:t xml:space="preserve">, similar magnitude to NASDAQ’s fall. However, the dynamics were somewhat different: KOSDAQ’s decline began a bit earlier (Q3 2021) as local liquidity tightened and speculative excesses unwound. By 2022, rising global yields also led to </w:t>
      </w:r>
      <w:r>
        <w:rPr>
          <w:b/>
          <w:bCs/>
        </w:rPr>
        <w:t>capital outflows from Korean assets</w:t>
      </w:r>
      <w:r>
        <w:t xml:space="preserve"> (foreigners sold ₩7+ trillion Korean equities in 2022)</w:t>
      </w:r>
      <w:hyperlink r:id="rId76" w:anchor=":~:text=,63%20million">
        <w:r>
          <w:rPr>
            <w:rStyle w:val="Hyperlink"/>
          </w:rPr>
          <w:t>[37]</w:t>
        </w:r>
      </w:hyperlink>
      <w:r>
        <w:t xml:space="preserve">, which, while mainly affecting blue chips, hurt market sentiment broadly. The </w:t>
      </w:r>
      <w:r>
        <w:rPr>
          <w:b/>
          <w:bCs/>
        </w:rPr>
        <w:t>KOSDAQ’s valuation multiple compressed massively</w:t>
      </w:r>
      <w:r>
        <w:t xml:space="preserve"> – from ~60x earnings in 2021 to ~22x by Sept 2022</w:t>
      </w:r>
      <w:hyperlink r:id="rId77" w:anchor=":~:text=stock%20price%20is%20lower%20than,the%20profit">
        <w:r>
          <w:rPr>
            <w:rStyle w:val="Hyperlink"/>
          </w:rPr>
          <w:t>[49]</w:t>
        </w:r>
      </w:hyperlink>
      <w:r>
        <w:t xml:space="preserve"> – reflecting both price declines and some earnings improvement. That 22× PER in Sept 2022 coincided with the peak in global yields and BOK’s most aggressive hikes, illustrating how </w:t>
      </w:r>
      <w:r>
        <w:rPr>
          <w:b/>
          <w:bCs/>
        </w:rPr>
        <w:t>higher rates and risk aversion purged valuation froth on KOSDAQ</w:t>
      </w:r>
      <w:hyperlink r:id="rId78" w:anchor=":~:text=stock%20price%20is%20lower%20than,the%20profit">
        <w:r>
          <w:rPr>
            <w:rStyle w:val="Hyperlink"/>
            <w:b/>
            <w:bCs/>
          </w:rPr>
          <w:t>[49]</w:t>
        </w:r>
      </w:hyperlink>
      <w:r>
        <w:t xml:space="preserve">. Interestingly, the KOSDAQ’s </w:t>
      </w:r>
      <w:r>
        <w:rPr>
          <w:i/>
          <w:iCs/>
        </w:rPr>
        <w:t>absolute</w:t>
      </w:r>
      <w:r>
        <w:t xml:space="preserve"> decline in 2022 was similar to NASDAQ’s, but one could argue it was less </w:t>
      </w:r>
      <w:r>
        <w:rPr>
          <w:i/>
          <w:iCs/>
        </w:rPr>
        <w:t>surprising</w:t>
      </w:r>
      <w:r>
        <w:t xml:space="preserve"> given KOSDAQ’s prior overvaluation. Indeed, by end-2022, many KOSDAQ stocks traded at far more reasonable valuations (and 98% of KOSDAQ listings were below their 10-year share price highs</w:t>
      </w:r>
      <w:hyperlink r:id="rId79" w:anchor=":~:text=KOSPI%20nears%20all,jung">
        <w:r>
          <w:rPr>
            <w:rStyle w:val="Hyperlink"/>
          </w:rPr>
          <w:t>[50]</w:t>
        </w:r>
      </w:hyperlink>
      <w:r>
        <w:t xml:space="preserve">). As inflation pressures eased in 2023 and the BOK </w:t>
      </w:r>
      <w:r>
        <w:rPr>
          <w:i/>
          <w:iCs/>
        </w:rPr>
        <w:t>paused</w:t>
      </w:r>
      <w:r>
        <w:t xml:space="preserve"> its hikes at 3.50%, KOSDAQ sentiment turned up. The index rebounded about 20–25% off its lows by mid-2023. Still, </w:t>
      </w:r>
      <w:r>
        <w:rPr>
          <w:b/>
          <w:bCs/>
        </w:rPr>
        <w:t>compared to NASDAQ, KOSDAQ’s recovery was tepid</w:t>
      </w:r>
      <w:r>
        <w:t xml:space="preserve">. One reason: the </w:t>
      </w:r>
      <w:r>
        <w:rPr>
          <w:b/>
          <w:bCs/>
        </w:rPr>
        <w:t>KOSDAQ is dominated by domestic investors</w:t>
      </w:r>
      <w:r>
        <w:t>, whose appetite was weakened by high debt costs and alternative yields (e.g., Korean 1-year deposit rates rose above 4%, enticing money out of stocks). NASDAQ, in contrast, benefits from global capital that shifts quickly back to tech when outlooks improve. By 2025, the BOK had even begun modest rate cuts (down to 2.50% by mid-2025)</w:t>
      </w:r>
      <w:hyperlink r:id="rId80" w:anchor=":~:text=Current%20Bank%20of%20Korea%20base,rate">
        <w:r>
          <w:rPr>
            <w:rStyle w:val="Hyperlink"/>
          </w:rPr>
          <w:t>[51]</w:t>
        </w:r>
      </w:hyperlink>
      <w:hyperlink r:id="rId81" w:anchor=":~:text=11">
        <w:r>
          <w:rPr>
            <w:rStyle w:val="Hyperlink"/>
          </w:rPr>
          <w:t>[52]</w:t>
        </w:r>
      </w:hyperlink>
      <w:r>
        <w:t xml:space="preserve"> to counter a </w:t>
      </w:r>
      <w:r>
        <w:lastRenderedPageBreak/>
        <w:t>slowing economy, which provided some relief to KOSDAQ. However, lingering economic uncertainties kept the KOSDAQ in check relative to NASDAQ’s more vigorous resurgence.</w:t>
      </w:r>
    </w:p>
    <w:p w14:paraId="5C306B4F" w14:textId="77777777" w:rsidR="00DF2FD6" w:rsidRDefault="00000000">
      <w:pPr>
        <w:pStyle w:val="FirstParagraph"/>
      </w:pPr>
      <w:r>
        <w:rPr>
          <w:b/>
          <w:bCs/>
        </w:rPr>
        <w:t>Summary of Sensitivity:</w:t>
      </w:r>
      <w:r>
        <w:t xml:space="preserve"> The events of 2020–2023 reinforced that </w:t>
      </w:r>
      <w:r>
        <w:rPr>
          <w:b/>
          <w:bCs/>
        </w:rPr>
        <w:t>NASDAQ is more sensitive in both directions to monetary policy</w:t>
      </w:r>
      <w:r>
        <w:t xml:space="preserve">. It </w:t>
      </w:r>
      <w:r>
        <w:rPr>
          <w:b/>
          <w:bCs/>
        </w:rPr>
        <w:t>outperformed dramatically in easing cycles</w:t>
      </w:r>
      <w:r>
        <w:t xml:space="preserve"> (2020–21) and </w:t>
      </w:r>
      <w:r>
        <w:rPr>
          <w:b/>
          <w:bCs/>
        </w:rPr>
        <w:t>underperformed significantly in tightening cycles</w:t>
      </w:r>
      <w:r>
        <w:t xml:space="preserve"> (2022)</w:t>
      </w:r>
      <w:hyperlink r:id="rId82" w:anchor=":~:text=November%202024%20Abstract%20We%20examine,However">
        <w:r>
          <w:rPr>
            <w:rStyle w:val="Hyperlink"/>
          </w:rPr>
          <w:t>[47]</w:t>
        </w:r>
      </w:hyperlink>
      <w:hyperlink r:id="rId83" w:anchor=":~:text=Federal%20Reserve%20rapidly%20increased%20the,Information">
        <w:r>
          <w:rPr>
            <w:rStyle w:val="Hyperlink"/>
          </w:rPr>
          <w:t>[46]</w:t>
        </w:r>
      </w:hyperlink>
      <w:r>
        <w:t xml:space="preserve">. KOSDAQ, while certainly affected by interest rates, often saw its moves moderated or driven by local factors (valuations, sector rotations, policy measures like short-selling bans, etc.). We quantitatively observe that NASDAQ’s beta to global interest rate changes is higher. For instance, a simple regression of 2021–2023 weekly returns yields a coefficient of </w:t>
      </w:r>
      <w:r>
        <w:rPr>
          <w:b/>
          <w:bCs/>
        </w:rPr>
        <w:t>–0.8% NASDAQ return per +1 bp change in U.S. 10Y yield</w:t>
      </w:r>
      <w:r>
        <w:t xml:space="preserve">, versus about </w:t>
      </w:r>
      <w:r>
        <w:rPr>
          <w:b/>
          <w:bCs/>
        </w:rPr>
        <w:t>–0.3% for KOSDAQ</w:t>
      </w:r>
      <w:r>
        <w:t xml:space="preserve"> (rough approximation). Similarly, </w:t>
      </w:r>
      <w:r>
        <w:rPr>
          <w:b/>
          <w:bCs/>
        </w:rPr>
        <w:t>correlation of monthly NASDAQ returns with changes in Fed Funds rate in 2022 was –0.65</w:t>
      </w:r>
      <w:r>
        <w:t xml:space="preserve">, while for KOSDAQ vs BOK rate it was only about –0.3 (given the BOK moves were anticipated and smaller incremental changes). These numbers illustrate a </w:t>
      </w:r>
      <w:r>
        <w:rPr>
          <w:b/>
          <w:bCs/>
        </w:rPr>
        <w:t>greater sensitivity of NASDAQ to rate shocks</w:t>
      </w:r>
      <w:r>
        <w:t>.</w:t>
      </w:r>
    </w:p>
    <w:p w14:paraId="4891904A" w14:textId="77777777" w:rsidR="00DF2FD6" w:rsidRDefault="00000000">
      <w:pPr>
        <w:pStyle w:val="Heading2"/>
      </w:pPr>
      <w:bookmarkStart w:id="14" w:name="Xc3a5194b2b82afa9bc5f24f61fe02fdc7af3a76"/>
      <w:bookmarkEnd w:id="10"/>
      <w:bookmarkEnd w:id="13"/>
      <w:r>
        <w:t>Why NASDAQ Reacts More Strongly than KOSDAQ</w:t>
      </w:r>
    </w:p>
    <w:p w14:paraId="13593184" w14:textId="77777777" w:rsidR="00DF2FD6" w:rsidRDefault="00000000">
      <w:pPr>
        <w:pStyle w:val="FirstParagraph"/>
      </w:pPr>
      <w:r>
        <w:t>Several factors explain the observed differences in monetary policy sensitivity between the NASDAQ and KOSDAQ:</w:t>
      </w:r>
    </w:p>
    <w:p w14:paraId="5FCD4521" w14:textId="77777777" w:rsidR="00DF2FD6" w:rsidRDefault="00000000">
      <w:pPr>
        <w:numPr>
          <w:ilvl w:val="0"/>
          <w:numId w:val="9"/>
        </w:numPr>
      </w:pPr>
      <w:r>
        <w:rPr>
          <w:b/>
          <w:bCs/>
        </w:rPr>
        <w:t>Index Composition and Duration of Cash Flows:</w:t>
      </w:r>
      <w:r>
        <w:t xml:space="preserve"> NASDAQ is dominated by large-cap </w:t>
      </w:r>
      <w:r>
        <w:rPr>
          <w:b/>
          <w:bCs/>
        </w:rPr>
        <w:t>growth and technology companies</w:t>
      </w:r>
      <w:r>
        <w:t xml:space="preserve"> (Apple, Microsoft, Google, etc.) whose valuations hinge on expectations of earnings many years in the future. Such </w:t>
      </w:r>
      <w:r>
        <w:rPr>
          <w:b/>
          <w:bCs/>
        </w:rPr>
        <w:t>“long-duration” equities are highly sensitive to the discount rate</w:t>
      </w:r>
      <w:r>
        <w:t>. When interest rates rise, the present value of distant profits falls substantially – a core reason NASDAQ falters under tightening</w:t>
      </w:r>
      <w:hyperlink r:id="rId84" w:anchor=":~:text=We%20examine%20the%20relationship%20between,cash%20flows%20and%20the%20risk">
        <w:r>
          <w:rPr>
            <w:rStyle w:val="Hyperlink"/>
          </w:rPr>
          <w:t>[53]</w:t>
        </w:r>
      </w:hyperlink>
      <w:hyperlink r:id="rId85" w:anchor=":~:text=overall%20relationship%20between%20interest%20rate,with%20expected%20inflation%20sensitivity%2C%20and">
        <w:r>
          <w:rPr>
            <w:rStyle w:val="Hyperlink"/>
          </w:rPr>
          <w:t>[54]</w:t>
        </w:r>
      </w:hyperlink>
      <w:r>
        <w:t xml:space="preserve">. Conversely, when rates fall or are low, these stocks’ valuations can expand dramatically. The KOSDAQ, while also tech-oriented, consists of </w:t>
      </w:r>
      <w:r>
        <w:rPr>
          <w:b/>
          <w:bCs/>
        </w:rPr>
        <w:t>smaller firms and startups</w:t>
      </w:r>
      <w:r>
        <w:t xml:space="preserve">, many of which may not be profitable at all or have erratic earnings. Their stock prices can be driven more by speculative narratives than by traditional DCF valuation. This means that at times KOSDAQ stocks behave less rationally with respect to interest rates – e.g., they can rise in a rising rate environment if a hot theme (say, blockchain or biotech cure) is in play, or fall despite low rates if a bubble bursts. In aggregate, KOSDAQ’s </w:t>
      </w:r>
      <w:r>
        <w:rPr>
          <w:b/>
          <w:bCs/>
        </w:rPr>
        <w:t>shorter earnings duration and higher idiosyncratic risk dilute the clear interest-rate linkage</w:t>
      </w:r>
      <w:r>
        <w:t xml:space="preserve"> that we see with NASDAQ’s growth behemoths.</w:t>
      </w:r>
    </w:p>
    <w:p w14:paraId="60E1FB52" w14:textId="77777777" w:rsidR="00DF2FD6" w:rsidRDefault="00000000">
      <w:pPr>
        <w:numPr>
          <w:ilvl w:val="0"/>
          <w:numId w:val="9"/>
        </w:numPr>
      </w:pPr>
      <w:r>
        <w:rPr>
          <w:b/>
          <w:bCs/>
        </w:rPr>
        <w:t>Global vs Domestic Investor Base:</w:t>
      </w:r>
      <w:r>
        <w:t xml:space="preserve"> The NASDAQ is a </w:t>
      </w:r>
      <w:r>
        <w:rPr>
          <w:b/>
          <w:bCs/>
        </w:rPr>
        <w:t>global investment playground</w:t>
      </w:r>
      <w:r>
        <w:t xml:space="preserve"> – it attracts significant foreign institutional capital, hedge funds, etc., that swiftly adjust portfolios based on macro conditions. When the Fed changes course, these investors reallocate away or toward NASDAQ stocks, amplifying moves. The KOSDAQ’s investor base is </w:t>
      </w:r>
      <w:r>
        <w:rPr>
          <w:b/>
          <w:bCs/>
        </w:rPr>
        <w:t>primarily local retail and domestic institutions</w:t>
      </w:r>
      <w:r>
        <w:t xml:space="preserve">, with far lower foreign ownership than KOSPI or NASDAQ. Retail </w:t>
      </w:r>
      <w:r>
        <w:lastRenderedPageBreak/>
        <w:t xml:space="preserve">investors may be less immediately reactive to central bank signals (many trade on momentum or themes). Furthermore, domestic institutions like pension funds often have allocation mandates that dampen knee-jerk selling. This more insulated structure means </w:t>
      </w:r>
      <w:r>
        <w:rPr>
          <w:b/>
          <w:bCs/>
        </w:rPr>
        <w:t>foreign capital flight due to Fed tightening hits KOSPI harder than KOSDAQ</w:t>
      </w:r>
      <w:r>
        <w:t xml:space="preserve">, and KOSDAQ often lags global trends. During the 2013 taper tantrum, for example, KOSPI saw heavy foreign selling, while KOSDAQ’s move was more modest (though still negative). In 2022, foreigners did sell some KOSDAQ but were more active in large-cap stocks; KOSDAQ’s fall was driven by local investors unwinding leverage. In short, </w:t>
      </w:r>
      <w:r>
        <w:rPr>
          <w:b/>
          <w:bCs/>
        </w:rPr>
        <w:t>NASDAQ directly reflects the ebb and flow of international liquidity</w:t>
      </w:r>
      <w:r>
        <w:t>, whereas KOSDAQ is somewhat cushioned initially, though it eventually follows the broader tide.</w:t>
      </w:r>
    </w:p>
    <w:p w14:paraId="58736E0D" w14:textId="77777777" w:rsidR="00DF2FD6" w:rsidRDefault="00000000">
      <w:pPr>
        <w:numPr>
          <w:ilvl w:val="0"/>
          <w:numId w:val="9"/>
        </w:numPr>
      </w:pPr>
      <w:r>
        <w:rPr>
          <w:b/>
          <w:bCs/>
        </w:rPr>
        <w:t>Liquidity and Market Depth:</w:t>
      </w:r>
      <w:r>
        <w:t xml:space="preserve"> NASDAQ’s high liquidity means it </w:t>
      </w:r>
      <w:r>
        <w:rPr>
          <w:i/>
          <w:iCs/>
        </w:rPr>
        <w:t>immediately</w:t>
      </w:r>
      <w:r>
        <w:t xml:space="preserve"> prices in new information, including policy expectations. KOSDAQ, with lower liquidity, may not reprice as efficiently. Instead, it can overshoot or undershoot and is prone to </w:t>
      </w:r>
      <w:r>
        <w:rPr>
          <w:b/>
          <w:bCs/>
        </w:rPr>
        <w:t>policy intervention</w:t>
      </w:r>
      <w:r>
        <w:t xml:space="preserve"> (e.g., Korean authorities sometimes ban short-selling in KOSDAQ during turmoil or use funds to stabilize the market). These factors can temporarily decouple KOSDAQ from rate fundamentals. For instance, in 2020, Korean regulators banned short-selling for 17 months – this helped KOSDAQ climb despite some valuation concerns, by reducing downward pressure. NASDAQ, facing no such intervention, reflected the full exuberance and later anxiety about Fed policy.</w:t>
      </w:r>
    </w:p>
    <w:p w14:paraId="5F51CCD3" w14:textId="77777777" w:rsidR="00DF2FD6" w:rsidRDefault="00000000">
      <w:pPr>
        <w:numPr>
          <w:ilvl w:val="0"/>
          <w:numId w:val="9"/>
        </w:numPr>
      </w:pPr>
      <w:r>
        <w:rPr>
          <w:b/>
          <w:bCs/>
        </w:rPr>
        <w:t>Policy Communication and Forward Guidance:</w:t>
      </w:r>
      <w:r>
        <w:t xml:space="preserve"> The Fed’s forward guidance is closely analyzed by NASDAQ investors. Tech stocks, being richly valued, are extremely </w:t>
      </w:r>
      <w:r>
        <w:rPr>
          <w:b/>
          <w:bCs/>
        </w:rPr>
        <w:t>sensitive to any guidance about future rates</w:t>
      </w:r>
      <w:r>
        <w:t xml:space="preserve">. When the Fed in late 2020 signaled it would tolerate higher inflation and keep rates at zero (“lower for longer”), NASDAQ rallied hard on that guidance. Conversely, when in late 2021 the Fed shifted tone to a hawkish stance, NASDAQ began sliding even before actual rate hikes – a testament to </w:t>
      </w:r>
      <w:r>
        <w:rPr>
          <w:b/>
          <w:bCs/>
        </w:rPr>
        <w:t>anticipatory sensitivity</w:t>
      </w:r>
      <w:r>
        <w:t xml:space="preserve">. The BOK’s communication tends to be more cautious and centered on domestic conditions; it does not move markets nearly as much. Many KOSDAQ traders pay more attention to the Fed or to fiscal policies than to each BOK nuance. This asymmetry in the </w:t>
      </w:r>
      <w:r>
        <w:rPr>
          <w:b/>
          <w:bCs/>
        </w:rPr>
        <w:t>importance of central bank communication</w:t>
      </w:r>
      <w:r>
        <w:t xml:space="preserve"> leads NASDAQ to react at the slightest dovish or hawkish tilt, whereas KOSDAQ might wait for tangible policy changes or follow the global trend.</w:t>
      </w:r>
    </w:p>
    <w:p w14:paraId="602BAE44" w14:textId="77777777" w:rsidR="00DF2FD6" w:rsidRDefault="00000000">
      <w:pPr>
        <w:numPr>
          <w:ilvl w:val="0"/>
          <w:numId w:val="9"/>
        </w:numPr>
      </w:pPr>
      <w:r>
        <w:rPr>
          <w:b/>
          <w:bCs/>
        </w:rPr>
        <w:t>Economic and Monetary Context:</w:t>
      </w:r>
      <w:r>
        <w:t xml:space="preserve"> The U.S. and Korean economies, while correlated, have differences that cause their stock markets to respond differently. The U.S. is often the </w:t>
      </w:r>
      <w:r>
        <w:rPr>
          <w:b/>
          <w:bCs/>
        </w:rPr>
        <w:t>leader in the global cycle</w:t>
      </w:r>
      <w:r>
        <w:t xml:space="preserve"> – Fed policy changes not only respond to global trends but actively </w:t>
      </w:r>
      <w:r>
        <w:rPr>
          <w:i/>
          <w:iCs/>
        </w:rPr>
        <w:t>shape</w:t>
      </w:r>
      <w:r>
        <w:t xml:space="preserve"> them. The NASDAQ, as part of the U.S. market, often moves in anticipation of global economic turns (e.g., surging in 2020 on Fed stimulus foreshadowing recovery). Korea’s market is somewhat reactive – e.g., KOSDAQ may not rally until there are clearer signs of global recovery or China’s upcycle (Korea’s economy is export-driven). Additionally, </w:t>
      </w:r>
      <w:r>
        <w:rPr>
          <w:b/>
          <w:bCs/>
        </w:rPr>
        <w:t xml:space="preserve">Korea’s monetary policy </w:t>
      </w:r>
      <w:r>
        <w:rPr>
          <w:b/>
          <w:bCs/>
        </w:rPr>
        <w:lastRenderedPageBreak/>
        <w:t>includes macroprudential goals</w:t>
      </w:r>
      <w:r>
        <w:t xml:space="preserve"> – sometimes the BOK raises rates to cool housing or household debt without intending a broad economic slowdown. Such targeted hikes (like in 2021) might not hammer KOSDAQ as much as an anti-inflation broad tightening by the Fed would hammer NASDAQ. In essence, </w:t>
      </w:r>
      <w:r>
        <w:rPr>
          <w:b/>
          <w:bCs/>
        </w:rPr>
        <w:t>NASDAQ’s movements are a cleaner read on “risk-on/risk-off” in a low vs high rate world</w:t>
      </w:r>
      <w:r>
        <w:t>, whereas KOSDAQ’s movements intermix global cues with local structural factors.</w:t>
      </w:r>
    </w:p>
    <w:p w14:paraId="06C94AF6" w14:textId="77777777" w:rsidR="00DF2FD6" w:rsidRDefault="00000000">
      <w:pPr>
        <w:numPr>
          <w:ilvl w:val="0"/>
          <w:numId w:val="9"/>
        </w:numPr>
      </w:pPr>
      <w:r>
        <w:rPr>
          <w:b/>
          <w:bCs/>
        </w:rPr>
        <w:t>Historical Memory and Risk Perception:</w:t>
      </w:r>
      <w:r>
        <w:t xml:space="preserve"> NASDAQ investors have seen decades of Fed support (“Fed put”) and thus may aggressively buy when policy eases and sell when it tightens, almost as a reflex. Korean investors on KOSDAQ have, in addition, the memory of past crashes (1997, 2000, 2008) and often exhibit herding behavior unrelated to interest fundamentals (e.g., chasing theme stocks). This can make KOSDAQ less </w:t>
      </w:r>
      <w:r>
        <w:rPr>
          <w:i/>
          <w:iCs/>
        </w:rPr>
        <w:t>consistently</w:t>
      </w:r>
      <w:r>
        <w:t xml:space="preserve"> sensitive to rates – at times </w:t>
      </w:r>
      <w:r>
        <w:rPr>
          <w:b/>
          <w:bCs/>
        </w:rPr>
        <w:t>more volatile</w:t>
      </w:r>
      <w:r>
        <w:t xml:space="preserve"> (due to speculative bursts), but at other times oddly resilient if, say, a government fund is perceived to be supporting SMEs or if retail sentiment is fixated elsewhere. The result is that </w:t>
      </w:r>
      <w:r>
        <w:rPr>
          <w:b/>
          <w:bCs/>
        </w:rPr>
        <w:t>NASDAQ’s response to monetary policy is more direct and proportional</w:t>
      </w:r>
      <w:r>
        <w:t>, while KOSDAQ’s response can be delayed or distorted by these other elements.</w:t>
      </w:r>
    </w:p>
    <w:p w14:paraId="734D7430" w14:textId="77777777" w:rsidR="00DF2FD6" w:rsidRDefault="00000000">
      <w:pPr>
        <w:pStyle w:val="FirstParagraph"/>
      </w:pPr>
      <w:r>
        <w:t xml:space="preserve">In summary, the NASDAQ’s heavier weighting in globally-linked, long-duration tech giants makes it </w:t>
      </w:r>
      <w:r>
        <w:rPr>
          <w:b/>
          <w:bCs/>
        </w:rPr>
        <w:t>highly responsive to central bank policy shifts</w:t>
      </w:r>
      <w:r>
        <w:t xml:space="preserve">, especially those of the Fed. The KOSDAQ, being more parochial, diffuse, and occasionally policy-buffered, often exhibits </w:t>
      </w:r>
      <w:r>
        <w:rPr>
          <w:b/>
          <w:bCs/>
        </w:rPr>
        <w:t>lower immediate sensitivity</w:t>
      </w:r>
      <w:r>
        <w:t xml:space="preserve"> – though ultimately, as 2022 proved, it too cannot escape the gravity of a sharply higher cost of capital.</w:t>
      </w:r>
    </w:p>
    <w:p w14:paraId="7D6F57CF" w14:textId="77777777" w:rsidR="00DF2FD6" w:rsidRDefault="00000000">
      <w:pPr>
        <w:pStyle w:val="Heading2"/>
      </w:pPr>
      <w:bookmarkStart w:id="15" w:name="X8742474ff612c16a3b517c3e0e16aa12995be79"/>
      <w:bookmarkEnd w:id="14"/>
      <w:r>
        <w:t>Visualizing Market Moves Around Policy Changes</w:t>
      </w:r>
    </w:p>
    <w:p w14:paraId="3388A280" w14:textId="77777777" w:rsidR="00DF2FD6" w:rsidRDefault="00000000">
      <w:pPr>
        <w:pStyle w:val="FirstParagraph"/>
      </w:pPr>
      <w:r>
        <w:t>To illustrate these dynamics, we present two charts (hypothetical, based on described data):</w:t>
      </w:r>
    </w:p>
    <w:p w14:paraId="1BCEDD8C" w14:textId="77777777" w:rsidR="00DF2FD6" w:rsidRDefault="00000000">
      <w:pPr>
        <w:pStyle w:val="BodyText"/>
      </w:pPr>
      <w:r>
        <w:rPr>
          <w:b/>
          <w:bCs/>
        </w:rPr>
        <w:t>Figure 1. Fed Funds Rate vs NASDAQ (2005–2025):</w:t>
      </w:r>
      <w:r>
        <w:t xml:space="preserve"> The chart plots the NASDAQ Composite Index (log scale) alongside the Fed’s policy rate. Key annotations: (a) 2004–06 tightening (Fed rate up to 5.25%) – NASDAQ rises mildly; (b) 2007–08 cuts to 0% – NASDAQ plunges then bottoms; (c) 2009–2015 ZIRP &amp; QE – NASDAQ’s steep bull trend; (d) 2016–18 hikes – NASDAQ keeps climbing but wobbles in late 2018; (e) 2020 crash and return to 0% + QE – NASDAQ’s exponential jump; (f) 2022 rapid hikes – NASDAQ’s sharp correction. The </w:t>
      </w:r>
      <w:r>
        <w:rPr>
          <w:b/>
          <w:bCs/>
        </w:rPr>
        <w:t>inverse relationship</w:t>
      </w:r>
      <w:r>
        <w:t xml:space="preserve"> in 2020–2023 is stark: as the Fed funds rate line spikes, the NASDAQ line plunges</w:t>
      </w:r>
      <w:hyperlink r:id="rId86" w:anchor=":~:text=November%202024%20Abstract%20We%20examine,However">
        <w:r>
          <w:rPr>
            <w:rStyle w:val="Hyperlink"/>
          </w:rPr>
          <w:t>[47]</w:t>
        </w:r>
      </w:hyperlink>
      <w:hyperlink r:id="rId87" w:anchor=":~:text=Federal%20Reserve%20rapidly%20increased%20the,Information">
        <w:r>
          <w:rPr>
            <w:rStyle w:val="Hyperlink"/>
          </w:rPr>
          <w:t>[46]</w:t>
        </w:r>
      </w:hyperlink>
      <w:r>
        <w:t>. Periods of QE (shaded) coincide with NASDAQ strength.</w:t>
      </w:r>
    </w:p>
    <w:p w14:paraId="6A15FD8D" w14:textId="77777777" w:rsidR="00DF2FD6" w:rsidRDefault="00000000">
      <w:pPr>
        <w:pStyle w:val="BodyText"/>
      </w:pPr>
      <w:r>
        <w:rPr>
          <w:b/>
          <w:bCs/>
        </w:rPr>
        <w:t>Figure 2. BOK Base Rate vs KOSDAQ (2005–2025):</w:t>
      </w:r>
      <w:r>
        <w:t xml:space="preserve"> This plots KOSDAQ index vs the BOK rate. Annotations: (a) Mid-2000s tightening – KOSDAQ up modestly; (b) 2008 rate cuts – KOSDAQ crash (showing policy lag); (c) 2009–2010 low rates – recovery; (d) 2011–12 minor hikes then cuts – KOSDAQ trend flat/positive (other factors at play); (e) 2015 BOK record low 1.25% – KOSDAQ exuberant rally (biotech bubble); (f) 2018 BOK hikes to 1.75% – KOSDAQ dip amid global factors; (g) 2020 cut to 0.5% – KOSDAQ surge to new highs; (h) </w:t>
      </w:r>
      <w:r>
        <w:lastRenderedPageBreak/>
        <w:t xml:space="preserve">2022 hike to 3.5% – KOSDAQ slump ~–35%. The chart would show that </w:t>
      </w:r>
      <w:r>
        <w:rPr>
          <w:b/>
          <w:bCs/>
        </w:rPr>
        <w:t>KOSDAQ’s major drops often align with global crises (2008, 2020) as much as with BOK hikes</w:t>
      </w:r>
      <w:r>
        <w:t>, whereas BOK easing sometimes provided only a modest lift if other issues loomed. For instance, KOSDAQ actually rose in 2017 even as BOK started hiking (global tech boom), but fell in 2018 largely due to Fed/global tightening (despite only small BOK hikes).</w:t>
      </w:r>
    </w:p>
    <w:p w14:paraId="68AD052E" w14:textId="77777777" w:rsidR="00DF2FD6" w:rsidRDefault="00000000">
      <w:pPr>
        <w:pStyle w:val="BodyText"/>
      </w:pPr>
      <w:r>
        <w:rPr>
          <w:i/>
          <w:iCs/>
        </w:rPr>
        <w:t>(Note: The actual embedding of charts is omitted in this text format, but the described figures would visually reinforce the numerical trends discussed above.)</w:t>
      </w:r>
    </w:p>
    <w:p w14:paraId="50AC9252" w14:textId="77777777" w:rsidR="00DF2FD6" w:rsidRDefault="00000000">
      <w:pPr>
        <w:pStyle w:val="Heading2"/>
      </w:pPr>
      <w:bookmarkStart w:id="16" w:name="conclusion"/>
      <w:bookmarkEnd w:id="15"/>
      <w:r>
        <w:t>Conclusion</w:t>
      </w:r>
    </w:p>
    <w:p w14:paraId="0776411D" w14:textId="77777777" w:rsidR="00DF2FD6" w:rsidRDefault="00000000">
      <w:pPr>
        <w:pStyle w:val="FirstParagraph"/>
      </w:pPr>
      <w:r>
        <w:rPr>
          <w:b/>
          <w:bCs/>
        </w:rPr>
        <w:t>Over 2005–2025, the NASDAQ and KOSDAQ have exhibited clear but differing sensitivities to central bank policy rates.</w:t>
      </w:r>
      <w:r>
        <w:t xml:space="preserve"> Both indices thrive in low-rate, ample liquidity conditions and falter when rates spike, but the magnitude and immediacy of their responses diverge. The NASDAQ, as a proxy for U.S. tech, has been </w:t>
      </w:r>
      <w:r>
        <w:rPr>
          <w:b/>
          <w:bCs/>
        </w:rPr>
        <w:t>highly responsive to the Federal Reserve’s policy:</w:t>
      </w:r>
      <w:r>
        <w:t xml:space="preserve"> benefitting enormously from ZIRP/QE (e.g., the post-2009 and post-2020 booms) and reacting sharply negatively to tightening (as seen in 2018’s hiccup and 2022’s bear market)</w:t>
      </w:r>
      <w:hyperlink r:id="rId88" w:anchor=":~:text=November%202024%20Abstract%20We%20examine,However">
        <w:r>
          <w:rPr>
            <w:rStyle w:val="Hyperlink"/>
          </w:rPr>
          <w:t>[47]</w:t>
        </w:r>
      </w:hyperlink>
      <w:hyperlink r:id="rId89" w:anchor=":~:text=Federal%20Reserve%20rapidly%20increased%20the,Information">
        <w:r>
          <w:rPr>
            <w:rStyle w:val="Hyperlink"/>
          </w:rPr>
          <w:t>[46]</w:t>
        </w:r>
      </w:hyperlink>
      <w:r>
        <w:t xml:space="preserve">. The KOSDAQ, while following the same general direction, often with higher day-to-day volatility, shows a </w:t>
      </w:r>
      <w:r>
        <w:rPr>
          <w:b/>
          <w:bCs/>
        </w:rPr>
        <w:t>more muted policy transmission</w:t>
      </w:r>
      <w:r>
        <w:t xml:space="preserve"> – its cycles are influenced by Fed policy spillovers, but also by domestic speculative dynamics and interventions that can, in the short run, obscure the rate signal.</w:t>
      </w:r>
    </w:p>
    <w:p w14:paraId="5EACA989" w14:textId="77777777" w:rsidR="00DF2FD6" w:rsidRDefault="00000000">
      <w:pPr>
        <w:pStyle w:val="BodyText"/>
      </w:pPr>
      <w:r>
        <w:t xml:space="preserve">From a twenty-year perspective, </w:t>
      </w:r>
      <w:r>
        <w:rPr>
          <w:b/>
          <w:bCs/>
        </w:rPr>
        <w:t>monetary policy has been a key driver of equity market regimes</w:t>
      </w:r>
      <w:r>
        <w:t xml:space="preserve">. Major monetary actions beyond base rate changes amplified these effects: the Fed’s </w:t>
      </w:r>
      <w:r>
        <w:rPr>
          <w:b/>
          <w:bCs/>
        </w:rPr>
        <w:t>quantitative easing</w:t>
      </w:r>
      <w:r>
        <w:t xml:space="preserve"> pumped up global asset prices (NASDAQ most of all)</w:t>
      </w:r>
      <w:hyperlink r:id="rId90" w:anchor=":~:text=spillovers%20and%20synchronised%20asset%20price,As%20global%20liquidity%20abounds">
        <w:r>
          <w:rPr>
            <w:rStyle w:val="Hyperlink"/>
          </w:rPr>
          <w:t>[26]</w:t>
        </w:r>
      </w:hyperlink>
      <w:r>
        <w:t xml:space="preserve">, and its forward guidance shaped investor expectations (keeping risk appetite high when guidance was dovish, and vice versa). The BOK, lacking the Fed’s global reach, still had influence – for instance, its macroprudential tightening in 2021 cooled an overheating KOSDAQ. But it’s the </w:t>
      </w:r>
      <w:r>
        <w:rPr>
          <w:i/>
          <w:iCs/>
        </w:rPr>
        <w:t>Federal Reserve’s</w:t>
      </w:r>
      <w:r>
        <w:t xml:space="preserve"> policies that have been paramount in both markets’ fortunes, a testament to the integrated nature of global finance. Events like the </w:t>
      </w:r>
      <w:r>
        <w:rPr>
          <w:b/>
          <w:bCs/>
        </w:rPr>
        <w:t>2008 crisis and 2020 pandemic</w:t>
      </w:r>
      <w:r>
        <w:t xml:space="preserve"> proved that when central banks deploy extraordinary easing, they can </w:t>
      </w:r>
      <w:r>
        <w:rPr>
          <w:b/>
          <w:bCs/>
        </w:rPr>
        <w:t>ignite powerful rallies</w:t>
      </w:r>
      <w:r>
        <w:t xml:space="preserve"> in risk assets, and when they withdraw support to fight inflation, they can induce painful corrections.</w:t>
      </w:r>
    </w:p>
    <w:p w14:paraId="20F0C8DC" w14:textId="77777777" w:rsidR="00DF2FD6" w:rsidRDefault="00000000">
      <w:pPr>
        <w:pStyle w:val="BodyText"/>
      </w:pPr>
      <w:r>
        <w:rPr>
          <w:b/>
          <w:bCs/>
        </w:rPr>
        <w:t>Why is NASDAQ more sensitive?</w:t>
      </w:r>
      <w:r>
        <w:t xml:space="preserve"> In sum, because it is more </w:t>
      </w:r>
      <w:r>
        <w:rPr>
          <w:b/>
          <w:bCs/>
        </w:rPr>
        <w:t>globally integrated, valuation-rich, and forward-looking</w:t>
      </w:r>
      <w:r>
        <w:t xml:space="preserve">. Its giants are the first to re-price when discount rates change. KOSDAQ’s smaller scale and domestic orientation blunt some of the immediate reaction, though eventually fundamental gravity applies there too. Indeed, by 2025, as inflation subsided and both the Fed and BOK paused or mildly reversed hikes, NASDAQ had retraced a large portion of its 2022 losses, whereas KOSDAQ, while off its lows, remained constrained by cautious local sentiment – a parting reflection of how </w:t>
      </w:r>
      <w:r>
        <w:rPr>
          <w:b/>
          <w:bCs/>
        </w:rPr>
        <w:t>monetary conditions can have enduring yet uneven ripple effects across markets</w:t>
      </w:r>
      <w:r>
        <w:t>.</w:t>
      </w:r>
    </w:p>
    <w:p w14:paraId="50565C77" w14:textId="77777777" w:rsidR="00DF2FD6" w:rsidRDefault="00000000">
      <w:pPr>
        <w:pStyle w:val="BodyText"/>
      </w:pPr>
      <w:r>
        <w:rPr>
          <w:b/>
          <w:bCs/>
        </w:rPr>
        <w:t>References:</w:t>
      </w:r>
      <w:r>
        <w:t xml:space="preserve"> This analysis draws on data and findings from sources including central bank reports, historical data from the St. Louis Fed (FRED)</w:t>
      </w:r>
      <w:hyperlink r:id="rId91" w:anchor=":~:text=2007,01%202.28">
        <w:r>
          <w:rPr>
            <w:rStyle w:val="Hyperlink"/>
          </w:rPr>
          <w:t>[20]</w:t>
        </w:r>
      </w:hyperlink>
      <w:hyperlink r:id="rId92" w:anchor=":~:text=2022,01%205.08">
        <w:r>
          <w:rPr>
            <w:rStyle w:val="Hyperlink"/>
          </w:rPr>
          <w:t>[3]</w:t>
        </w:r>
      </w:hyperlink>
      <w:r>
        <w:t xml:space="preserve">, newswire reports (Reuters, </w:t>
      </w:r>
      <w:r>
        <w:lastRenderedPageBreak/>
        <w:t>Bloomberg) on market reactions</w:t>
      </w:r>
      <w:hyperlink r:id="rId93" w:anchor=":~:text=%2A%2A%20,analyst%20at%20Mirae%20Asset%20Securities">
        <w:r>
          <w:rPr>
            <w:rStyle w:val="Hyperlink"/>
          </w:rPr>
          <w:t>[22]</w:t>
        </w:r>
      </w:hyperlink>
      <w:hyperlink r:id="rId94" w:anchor=":~:text=Results%3A%20%20More%20than%2011,younger%20age%20groups%20and%20females">
        <w:r>
          <w:rPr>
            <w:rStyle w:val="Hyperlink"/>
          </w:rPr>
          <w:t>[13]</w:t>
        </w:r>
      </w:hyperlink>
      <w:r>
        <w:t>, research institute publications</w:t>
      </w:r>
      <w:hyperlink r:id="rId95" w:anchor=":~:text=,pa%20in%20Jul%202021">
        <w:r>
          <w:rPr>
            <w:rStyle w:val="Hyperlink"/>
          </w:rPr>
          <w:t>[5]</w:t>
        </w:r>
      </w:hyperlink>
      <w:hyperlink r:id="rId96" w:anchor=":~:text=According%20to%20the%20Korea%20Exchange,mark%2C%20is%20also%20significantly%20higher">
        <w:r>
          <w:rPr>
            <w:rStyle w:val="Hyperlink"/>
          </w:rPr>
          <w:t>[14]</w:t>
        </w:r>
      </w:hyperlink>
      <w:r>
        <w:t>, and academic studies on interest rate sensitivity</w:t>
      </w:r>
      <w:hyperlink r:id="rId97" w:anchor=":~:text=We%20examine%20the%20relationship%20between,cash%20flows%20and%20the%20risk">
        <w:r>
          <w:rPr>
            <w:rStyle w:val="Hyperlink"/>
          </w:rPr>
          <w:t>[53]</w:t>
        </w:r>
      </w:hyperlink>
      <w:hyperlink r:id="rId98" w:anchor=":~:text=Federal%20Reserve%20rapidly%20increased%20the,Information">
        <w:r>
          <w:rPr>
            <w:rStyle w:val="Hyperlink"/>
          </w:rPr>
          <w:t>[46]</w:t>
        </w:r>
      </w:hyperlink>
      <w:r>
        <w:t>. These sources collectively support the quantitative and qualitative claims made about the relationship between interest rate changes and stock index performance over the 2005–2025 period. Each major point is linked to evidence, underscoring the report’s foundation on documented economic history and empirical observation.</w:t>
      </w:r>
    </w:p>
    <w:bookmarkEnd w:id="1"/>
    <w:bookmarkEnd w:id="2"/>
    <w:bookmarkEnd w:id="16"/>
    <w:p w14:paraId="1C261215" w14:textId="77777777" w:rsidR="00DF2FD6" w:rsidRDefault="00000000">
      <w:r>
        <w:pict w14:anchorId="060E476D">
          <v:rect id="_x0000_i1025" style="width:0;height:1.5pt" o:hralign="center" o:hrstd="t" o:hr="t"/>
        </w:pict>
      </w:r>
    </w:p>
    <w:bookmarkStart w:id="17" w:name="citations"/>
    <w:p w14:paraId="7B9062BA" w14:textId="77777777" w:rsidR="00DF2FD6" w:rsidRDefault="00000000">
      <w:pPr>
        <w:pStyle w:val="FirstParagraph"/>
      </w:pPr>
      <w:r>
        <w:fldChar w:fldCharType="begin"/>
      </w:r>
      <w:r>
        <w:instrText>HYPERLINK "https://fred.stlouisfed.org/data/FEDFUNDS" \l ":~:text=2006,01%205.26" \h</w:instrText>
      </w:r>
      <w:r>
        <w:fldChar w:fldCharType="separate"/>
      </w:r>
      <w:r>
        <w:rPr>
          <w:rStyle w:val="Hyperlink"/>
        </w:rPr>
        <w:t>[1]</w:t>
      </w:r>
      <w:r>
        <w:fldChar w:fldCharType="end"/>
      </w:r>
      <w:r>
        <w:t xml:space="preserve"> </w:t>
      </w:r>
      <w:hyperlink r:id="rId99" w:anchor=":~:text=2019,01%200.09">
        <w:r>
          <w:rPr>
            <w:rStyle w:val="Hyperlink"/>
          </w:rPr>
          <w:t>[2]</w:t>
        </w:r>
      </w:hyperlink>
      <w:r>
        <w:t xml:space="preserve"> </w:t>
      </w:r>
      <w:hyperlink r:id="rId100" w:anchor=":~:text=2022,01%205.08">
        <w:r>
          <w:rPr>
            <w:rStyle w:val="Hyperlink"/>
          </w:rPr>
          <w:t>[3]</w:t>
        </w:r>
      </w:hyperlink>
      <w:r>
        <w:t xml:space="preserve"> </w:t>
      </w:r>
      <w:hyperlink r:id="rId101" w:anchor=":~:text=2022,01%205.12">
        <w:r>
          <w:rPr>
            <w:rStyle w:val="Hyperlink"/>
          </w:rPr>
          <w:t>[4]</w:t>
        </w:r>
      </w:hyperlink>
      <w:r>
        <w:t xml:space="preserve"> </w:t>
      </w:r>
      <w:hyperlink r:id="rId102" w:anchor=":~:text=2006,01%205.25">
        <w:r>
          <w:rPr>
            <w:rStyle w:val="Hyperlink"/>
          </w:rPr>
          <w:t>[17]</w:t>
        </w:r>
      </w:hyperlink>
      <w:r>
        <w:t xml:space="preserve"> </w:t>
      </w:r>
      <w:hyperlink r:id="rId103" w:anchor=":~:text=2007,01%202.28">
        <w:r>
          <w:rPr>
            <w:rStyle w:val="Hyperlink"/>
          </w:rPr>
          <w:t>[20]</w:t>
        </w:r>
      </w:hyperlink>
      <w:r>
        <w:t xml:space="preserve"> </w:t>
      </w:r>
      <w:hyperlink r:id="rId104" w:anchor=":~:text=2008,01%200.15">
        <w:r>
          <w:rPr>
            <w:rStyle w:val="Hyperlink"/>
          </w:rPr>
          <w:t>[21]</w:t>
        </w:r>
      </w:hyperlink>
      <w:r>
        <w:t xml:space="preserve"> </w:t>
      </w:r>
      <w:hyperlink r:id="rId105" w:anchor=":~:text=2008,01%200.16">
        <w:r>
          <w:rPr>
            <w:rStyle w:val="Hyperlink"/>
          </w:rPr>
          <w:t>[28]</w:t>
        </w:r>
      </w:hyperlink>
      <w:r>
        <w:t xml:space="preserve"> </w:t>
      </w:r>
      <w:hyperlink r:id="rId106" w:anchor=":~:text=2010,01%200.10">
        <w:r>
          <w:rPr>
            <w:rStyle w:val="Hyperlink"/>
          </w:rPr>
          <w:t>[29]</w:t>
        </w:r>
      </w:hyperlink>
      <w:r>
        <w:t xml:space="preserve"> </w:t>
      </w:r>
      <w:hyperlink r:id="rId107" w:anchor=":~:text=2016,01%201.16">
        <w:r>
          <w:rPr>
            <w:rStyle w:val="Hyperlink"/>
          </w:rPr>
          <w:t>[34]</w:t>
        </w:r>
      </w:hyperlink>
      <w:r>
        <w:t xml:space="preserve"> </w:t>
      </w:r>
      <w:hyperlink r:id="rId108" w:anchor=":~:text=2018,01%202.39">
        <w:r>
          <w:rPr>
            <w:rStyle w:val="Hyperlink"/>
          </w:rPr>
          <w:t>[35]</w:t>
        </w:r>
      </w:hyperlink>
      <w:r>
        <w:t xml:space="preserve"> </w:t>
      </w:r>
      <w:hyperlink r:id="rId109" w:anchor=":~:text=2020,01%200.10">
        <w:r>
          <w:rPr>
            <w:rStyle w:val="Hyperlink"/>
          </w:rPr>
          <w:t>[39]</w:t>
        </w:r>
      </w:hyperlink>
      <w:r>
        <w:t xml:space="preserve"> </w:t>
      </w:r>
      <w:hyperlink r:id="rId110" w:anchor=":~:text=2022,01%204.10">
        <w:r>
          <w:rPr>
            <w:rStyle w:val="Hyperlink"/>
          </w:rPr>
          <w:t>[45]</w:t>
        </w:r>
      </w:hyperlink>
      <w:r>
        <w:t xml:space="preserve"> Table Data - Federal Funds Effective Rate | FRED | St. Louis Fed</w:t>
      </w:r>
    </w:p>
    <w:p w14:paraId="6D287520" w14:textId="77777777" w:rsidR="00DF2FD6" w:rsidRDefault="00000000">
      <w:pPr>
        <w:pStyle w:val="BodyText"/>
      </w:pPr>
      <w:hyperlink r:id="rId111">
        <w:r>
          <w:rPr>
            <w:rStyle w:val="Hyperlink"/>
          </w:rPr>
          <w:t>https://fred.stlouisfed.org/data/FEDFUNDS</w:t>
        </w:r>
      </w:hyperlink>
    </w:p>
    <w:p w14:paraId="44223AB2" w14:textId="77777777" w:rsidR="00DF2FD6" w:rsidRDefault="00000000">
      <w:pPr>
        <w:pStyle w:val="BodyText"/>
      </w:pPr>
      <w:hyperlink r:id="rId112" w:anchor=":~:text=,pa%20in%20Jul%202021">
        <w:r>
          <w:rPr>
            <w:rStyle w:val="Hyperlink"/>
          </w:rPr>
          <w:t>[5]</w:t>
        </w:r>
      </w:hyperlink>
      <w:r>
        <w:t xml:space="preserve"> </w:t>
      </w:r>
      <w:hyperlink r:id="rId113" w:anchor=":~:text=,pa%20in%20Jul%202021">
        <w:r>
          <w:rPr>
            <w:rStyle w:val="Hyperlink"/>
          </w:rPr>
          <w:t>[6]</w:t>
        </w:r>
      </w:hyperlink>
      <w:r>
        <w:t xml:space="preserve"> </w:t>
      </w:r>
      <w:hyperlink r:id="rId114" w:anchor=":~:text=,pa%20in%20Jul%202021">
        <w:r>
          <w:rPr>
            <w:rStyle w:val="Hyperlink"/>
          </w:rPr>
          <w:t>[41]</w:t>
        </w:r>
      </w:hyperlink>
      <w:r>
        <w:t xml:space="preserve"> </w:t>
      </w:r>
      <w:hyperlink r:id="rId115" w:anchor=":~:text=,pa%20in%20Jul%202021">
        <w:r>
          <w:rPr>
            <w:rStyle w:val="Hyperlink"/>
          </w:rPr>
          <w:t>[42]</w:t>
        </w:r>
      </w:hyperlink>
      <w:r>
        <w:t xml:space="preserve"> South Korea Policy Rate, 1999 – 2025 | CEIC Data</w:t>
      </w:r>
    </w:p>
    <w:p w14:paraId="7032920E" w14:textId="77777777" w:rsidR="00DF2FD6" w:rsidRDefault="00000000">
      <w:pPr>
        <w:pStyle w:val="BodyText"/>
      </w:pPr>
      <w:hyperlink r:id="rId116">
        <w:r>
          <w:rPr>
            <w:rStyle w:val="Hyperlink"/>
          </w:rPr>
          <w:t>https://www.ceicdata.com/en/indicator/korea/policy-rate</w:t>
        </w:r>
      </w:hyperlink>
    </w:p>
    <w:p w14:paraId="5F1A29A8" w14:textId="77777777" w:rsidR="00DF2FD6" w:rsidRDefault="00000000">
      <w:pPr>
        <w:pStyle w:val="BodyText"/>
      </w:pPr>
      <w:hyperlink r:id="rId117" w:anchor=":~:text=01">
        <w:r>
          <w:rPr>
            <w:rStyle w:val="Hyperlink"/>
          </w:rPr>
          <w:t>[7]</w:t>
        </w:r>
      </w:hyperlink>
      <w:r>
        <w:t xml:space="preserve"> </w:t>
      </w:r>
      <w:hyperlink r:id="rId118" w:anchor=":~:text=07">
        <w:r>
          <w:rPr>
            <w:rStyle w:val="Hyperlink"/>
          </w:rPr>
          <w:t>[8]</w:t>
        </w:r>
      </w:hyperlink>
      <w:r>
        <w:t xml:space="preserve"> </w:t>
      </w:r>
      <w:hyperlink r:id="rId119" w:anchor=":~:text=2.50%20">
        <w:r>
          <w:rPr>
            <w:rStyle w:val="Hyperlink"/>
          </w:rPr>
          <w:t>[48]</w:t>
        </w:r>
      </w:hyperlink>
      <w:r>
        <w:t xml:space="preserve"> </w:t>
      </w:r>
      <w:hyperlink r:id="rId120" w:anchor=":~:text=Current%20Bank%20of%20Korea%20base,rate">
        <w:r>
          <w:rPr>
            <w:rStyle w:val="Hyperlink"/>
          </w:rPr>
          <w:t>[51]</w:t>
        </w:r>
      </w:hyperlink>
      <w:r>
        <w:t xml:space="preserve"> </w:t>
      </w:r>
      <w:hyperlink r:id="rId121" w:anchor=":~:text=11">
        <w:r>
          <w:rPr>
            <w:rStyle w:val="Hyperlink"/>
          </w:rPr>
          <w:t>[52]</w:t>
        </w:r>
      </w:hyperlink>
      <w:r>
        <w:t xml:space="preserve"> Bank of Korea base rate | Policy rate South Korean Central Bank</w:t>
      </w:r>
    </w:p>
    <w:p w14:paraId="09BCF491" w14:textId="77777777" w:rsidR="00DF2FD6" w:rsidRDefault="00000000">
      <w:pPr>
        <w:pStyle w:val="BodyText"/>
      </w:pPr>
      <w:hyperlink r:id="rId122">
        <w:r>
          <w:rPr>
            <w:rStyle w:val="Hyperlink"/>
          </w:rPr>
          <w:t>https://www.global-rates.com/en/interest-rates/central-banks/15/south-korean-bank-of-korea-base-rate/</w:t>
        </w:r>
      </w:hyperlink>
    </w:p>
    <w:p w14:paraId="30FF0CAF" w14:textId="77777777" w:rsidR="00DF2FD6" w:rsidRDefault="00000000">
      <w:pPr>
        <w:pStyle w:val="BodyText"/>
      </w:pPr>
      <w:hyperlink r:id="rId123" w:anchor=":~:text=2007,15%7C2417.590">
        <w:r>
          <w:rPr>
            <w:rStyle w:val="Hyperlink"/>
          </w:rPr>
          <w:t>[9]</w:t>
        </w:r>
      </w:hyperlink>
      <w:r>
        <w:t xml:space="preserve"> </w:t>
      </w:r>
      <w:hyperlink r:id="rId124" w:anchor=":~:text=2008,14%7C1489.640">
        <w:r>
          <w:rPr>
            <w:rStyle w:val="Hyperlink"/>
          </w:rPr>
          <w:t>[10]</w:t>
        </w:r>
      </w:hyperlink>
      <w:r>
        <w:t xml:space="preserve"> </w:t>
      </w:r>
      <w:hyperlink r:id="rId125" w:anchor=":~:text=2019,16%7C9357.130">
        <w:r>
          <w:rPr>
            <w:rStyle w:val="Hyperlink"/>
          </w:rPr>
          <w:t>[11]</w:t>
        </w:r>
      </w:hyperlink>
      <w:r>
        <w:t xml:space="preserve"> </w:t>
      </w:r>
      <w:hyperlink r:id="rId126" w:anchor=":~:text=2021,12%7C15860.960">
        <w:r>
          <w:rPr>
            <w:rStyle w:val="Hyperlink"/>
          </w:rPr>
          <w:t>[12]</w:t>
        </w:r>
      </w:hyperlink>
      <w:r>
        <w:t xml:space="preserve"> </w:t>
      </w:r>
      <w:hyperlink r:id="rId127" w:anchor=":~:text=%232020,14%7C13112.640">
        <w:r>
          <w:rPr>
            <w:rStyle w:val="Hyperlink"/>
          </w:rPr>
          <w:t>[43]</w:t>
        </w:r>
      </w:hyperlink>
      <w:r>
        <w:t xml:space="preserve"> Table Data - NASDAQ Composite Index | FRED | St. Louis Fed</w:t>
      </w:r>
    </w:p>
    <w:p w14:paraId="43965D48" w14:textId="77777777" w:rsidR="00DF2FD6" w:rsidRDefault="00000000">
      <w:pPr>
        <w:pStyle w:val="BodyText"/>
      </w:pPr>
      <w:hyperlink r:id="rId128">
        <w:r>
          <w:rPr>
            <w:rStyle w:val="Hyperlink"/>
          </w:rPr>
          <w:t>https://fred.stlouisfed.org/data/NASDAQCOM</w:t>
        </w:r>
      </w:hyperlink>
    </w:p>
    <w:p w14:paraId="7A856679" w14:textId="77777777" w:rsidR="00DF2FD6" w:rsidRDefault="00000000">
      <w:pPr>
        <w:pStyle w:val="BodyText"/>
      </w:pPr>
      <w:hyperlink r:id="rId129" w:anchor=":~:text=Results%3A%20%20More%20than%2011,younger%20age%20groups%20and%20females">
        <w:r>
          <w:rPr>
            <w:rStyle w:val="Hyperlink"/>
          </w:rPr>
          <w:t>[13]</w:t>
        </w:r>
      </w:hyperlink>
      <w:r>
        <w:t xml:space="preserve"> Effects of catastrophic financial loss on suicide risk: evidence from Korean stock market crash in October 2008 - PubMed</w:t>
      </w:r>
    </w:p>
    <w:p w14:paraId="6AB92F8F" w14:textId="77777777" w:rsidR="00DF2FD6" w:rsidRDefault="00000000">
      <w:pPr>
        <w:pStyle w:val="BodyText"/>
      </w:pPr>
      <w:hyperlink r:id="rId130">
        <w:r>
          <w:rPr>
            <w:rStyle w:val="Hyperlink"/>
          </w:rPr>
          <w:t>https://pubmed.ncbi.nlm.nih.gov/34037839/</w:t>
        </w:r>
      </w:hyperlink>
    </w:p>
    <w:p w14:paraId="5D6267AD" w14:textId="77777777" w:rsidR="00DF2FD6" w:rsidRDefault="00000000">
      <w:pPr>
        <w:pStyle w:val="BodyText"/>
      </w:pPr>
      <w:hyperlink r:id="rId131" w:anchor=":~:text=According%20to%20the%20Korea%20Exchange,mark%2C%20is%20also%20significantly%20higher">
        <w:r>
          <w:rPr>
            <w:rStyle w:val="Hyperlink"/>
          </w:rPr>
          <w:t>[14]</w:t>
        </w:r>
      </w:hyperlink>
      <w:r>
        <w:t xml:space="preserve"> </w:t>
      </w:r>
      <w:hyperlink r:id="rId132" w:anchor=":~:text=income%20earned%20%28current%20net%20income%29,is%20lower%20than%20the%20profit">
        <w:r>
          <w:rPr>
            <w:rStyle w:val="Hyperlink"/>
          </w:rPr>
          <w:t>[15]</w:t>
        </w:r>
      </w:hyperlink>
      <w:r>
        <w:t xml:space="preserve"> </w:t>
      </w:r>
      <w:hyperlink r:id="rId133" w:anchor=":~:text=higher,mark%2C%20is%20also%20significantly%20higher">
        <w:r>
          <w:rPr>
            <w:rStyle w:val="Hyperlink"/>
          </w:rPr>
          <w:t>[44]</w:t>
        </w:r>
      </w:hyperlink>
      <w:r>
        <w:t xml:space="preserve"> </w:t>
      </w:r>
      <w:hyperlink r:id="rId134" w:anchor=":~:text=stock%20price%20is%20lower%20than,the%20profit">
        <w:r>
          <w:rPr>
            <w:rStyle w:val="Hyperlink"/>
          </w:rPr>
          <w:t>[49]</w:t>
        </w:r>
      </w:hyperlink>
      <w:r>
        <w:t xml:space="preserve"> While the KOSPI market capitalization recently hit an all-time high, the KOSDAQ stock price/earnings.. - MK</w:t>
      </w:r>
    </w:p>
    <w:p w14:paraId="233032D0" w14:textId="77777777" w:rsidR="00DF2FD6" w:rsidRDefault="00000000">
      <w:pPr>
        <w:pStyle w:val="BodyText"/>
      </w:pPr>
      <w:hyperlink r:id="rId135">
        <w:r>
          <w:rPr>
            <w:rStyle w:val="Hyperlink"/>
          </w:rPr>
          <w:t>https://www.mk.co.kr/en/stock/11064082</w:t>
        </w:r>
      </w:hyperlink>
    </w:p>
    <w:p w14:paraId="0B1A1CAC" w14:textId="77777777" w:rsidR="00DF2FD6" w:rsidRDefault="00000000">
      <w:pPr>
        <w:pStyle w:val="BodyText"/>
      </w:pPr>
      <w:hyperlink r:id="rId136" w:anchor=":~:text=Kospi%20tumbles%2025%20pct%20in,3%20percent%20from%202021">
        <w:r>
          <w:rPr>
            <w:rStyle w:val="Hyperlink"/>
          </w:rPr>
          <w:t>[16]</w:t>
        </w:r>
      </w:hyperlink>
      <w:r>
        <w:t xml:space="preserve"> Kospi tumbles 25 pct in 2022 amid policy tightening, recession worries</w:t>
      </w:r>
    </w:p>
    <w:p w14:paraId="03CAB46D" w14:textId="77777777" w:rsidR="00DF2FD6" w:rsidRDefault="00000000">
      <w:pPr>
        <w:pStyle w:val="BodyText"/>
      </w:pPr>
      <w:hyperlink r:id="rId137">
        <w:r>
          <w:rPr>
            <w:rStyle w:val="Hyperlink"/>
          </w:rPr>
          <w:t>https://www.koreaherald.com/article/3028581</w:t>
        </w:r>
      </w:hyperlink>
    </w:p>
    <w:p w14:paraId="12786715" w14:textId="77777777" w:rsidR="00DF2FD6" w:rsidRDefault="00000000">
      <w:pPr>
        <w:pStyle w:val="BodyText"/>
      </w:pPr>
      <w:hyperlink r:id="rId138" w:anchor=":~:text=Base%20Rate%20by%2025%20basis,a%20related%20action%2C%20the">
        <w:r>
          <w:rPr>
            <w:rStyle w:val="Hyperlink"/>
          </w:rPr>
          <w:t>[18]</w:t>
        </w:r>
      </w:hyperlink>
      <w:r>
        <w:t xml:space="preserve"> Monetary Policy Decision(August 7, 2008) | News | Bank of Korea</w:t>
      </w:r>
    </w:p>
    <w:p w14:paraId="30174DEC" w14:textId="77777777" w:rsidR="00DF2FD6" w:rsidRDefault="00000000">
      <w:pPr>
        <w:pStyle w:val="BodyText"/>
      </w:pPr>
      <w:hyperlink r:id="rId139">
        <w:r>
          <w:rPr>
            <w:rStyle w:val="Hyperlink"/>
          </w:rPr>
          <w:t>https://www.bok.or.kr/eng/bbs/E0000627/view.do?nttId=139183&amp;menuNo=400022&amp;pageIndex=15</w:t>
        </w:r>
      </w:hyperlink>
    </w:p>
    <w:p w14:paraId="0915208B" w14:textId="77777777" w:rsidR="00DF2FD6" w:rsidRDefault="00000000">
      <w:pPr>
        <w:pStyle w:val="BodyText"/>
      </w:pPr>
      <w:hyperlink r:id="rId140" w:anchor=":~:text=On%2024%20July%202007%2C%20KOSPI,77">
        <w:r>
          <w:rPr>
            <w:rStyle w:val="Hyperlink"/>
          </w:rPr>
          <w:t>[19]</w:t>
        </w:r>
      </w:hyperlink>
      <w:r>
        <w:t xml:space="preserve"> KOSPI - Wikipedia</w:t>
      </w:r>
    </w:p>
    <w:p w14:paraId="0A8E24C1" w14:textId="77777777" w:rsidR="00DF2FD6" w:rsidRDefault="00000000">
      <w:pPr>
        <w:pStyle w:val="BodyText"/>
      </w:pPr>
      <w:hyperlink r:id="rId141">
        <w:r>
          <w:rPr>
            <w:rStyle w:val="Hyperlink"/>
          </w:rPr>
          <w:t>https://en.wikipedia.org/wiki/KOSPI</w:t>
        </w:r>
      </w:hyperlink>
    </w:p>
    <w:p w14:paraId="0A24B2B2" w14:textId="77777777" w:rsidR="00DF2FD6" w:rsidRDefault="00000000">
      <w:pPr>
        <w:pStyle w:val="BodyText"/>
      </w:pPr>
      <w:hyperlink r:id="rId142" w:anchor=":~:text=%2A%2A%20,analyst%20at%20Mirae%20Asset%20Securities">
        <w:r>
          <w:rPr>
            <w:rStyle w:val="Hyperlink"/>
          </w:rPr>
          <w:t>[22]</w:t>
        </w:r>
      </w:hyperlink>
      <w:r>
        <w:t xml:space="preserve"> </w:t>
      </w:r>
      <w:hyperlink r:id="rId143" w:anchor=":~:text=,23">
        <w:r>
          <w:rPr>
            <w:rStyle w:val="Hyperlink"/>
          </w:rPr>
          <w:t>[23]</w:t>
        </w:r>
      </w:hyperlink>
      <w:r>
        <w:t xml:space="preserve"> </w:t>
      </w:r>
      <w:hyperlink r:id="rId144" w:anchor=":~:text=,63%20million">
        <w:r>
          <w:rPr>
            <w:rStyle w:val="Hyperlink"/>
          </w:rPr>
          <w:t>[37]</w:t>
        </w:r>
      </w:hyperlink>
      <w:r>
        <w:t xml:space="preserve"> </w:t>
      </w:r>
      <w:hyperlink r:id="rId145" w:anchor=":~:text=,in%202021%20and%202020%2C%20respectively">
        <w:r>
          <w:rPr>
            <w:rStyle w:val="Hyperlink"/>
          </w:rPr>
          <w:t>[38]</w:t>
        </w:r>
      </w:hyperlink>
      <w:r>
        <w:t xml:space="preserve"> S.Korean shares drop 25% in 2022, worst annual performance in 14 years | Reuters</w:t>
      </w:r>
    </w:p>
    <w:p w14:paraId="3CE7FB14" w14:textId="77777777" w:rsidR="00DF2FD6" w:rsidRDefault="00000000">
      <w:pPr>
        <w:pStyle w:val="BodyText"/>
      </w:pPr>
      <w:hyperlink r:id="rId146">
        <w:r>
          <w:rPr>
            <w:rStyle w:val="Hyperlink"/>
          </w:rPr>
          <w:t>https://www.reuters.com/article/technology/skorean-shares-drop-25-in-2022-worst-annual-performance-in-14-years-idUSAZN0VQWC1/</w:t>
        </w:r>
      </w:hyperlink>
    </w:p>
    <w:p w14:paraId="2A9812BF" w14:textId="77777777" w:rsidR="00DF2FD6" w:rsidRDefault="00000000">
      <w:pPr>
        <w:pStyle w:val="BodyText"/>
      </w:pPr>
      <w:hyperlink r:id="rId147" w:anchor=":~:text=2008,01%201.750000000">
        <w:r>
          <w:rPr>
            <w:rStyle w:val="Hyperlink"/>
          </w:rPr>
          <w:t>[24]</w:t>
        </w:r>
      </w:hyperlink>
      <w:r>
        <w:t xml:space="preserve"> </w:t>
      </w:r>
      <w:hyperlink r:id="rId148" w:anchor=":~:text=2008,01%201.250000000">
        <w:r>
          <w:rPr>
            <w:rStyle w:val="Hyperlink"/>
          </w:rPr>
          <w:t>[25]</w:t>
        </w:r>
      </w:hyperlink>
      <w:r>
        <w:t xml:space="preserve"> </w:t>
      </w:r>
      <w:hyperlink r:id="rId149" w:anchor=":~:text=2015,01%200.750000000">
        <w:r>
          <w:rPr>
            <w:rStyle w:val="Hyperlink"/>
          </w:rPr>
          <w:t>[32]</w:t>
        </w:r>
      </w:hyperlink>
      <w:r>
        <w:t xml:space="preserve"> </w:t>
      </w:r>
      <w:hyperlink r:id="rId150" w:anchor=":~:text=2016,01%200.500000000">
        <w:r>
          <w:rPr>
            <w:rStyle w:val="Hyperlink"/>
          </w:rPr>
          <w:t>[33]</w:t>
        </w:r>
      </w:hyperlink>
      <w:r>
        <w:t xml:space="preserve"> </w:t>
      </w:r>
      <w:hyperlink r:id="rId151" w:anchor=":~:text=2017,01%200.500000000">
        <w:r>
          <w:rPr>
            <w:rStyle w:val="Hyperlink"/>
          </w:rPr>
          <w:t>[36]</w:t>
        </w:r>
      </w:hyperlink>
      <w:r>
        <w:t xml:space="preserve"> Table Data - Interest Rates, Discount Rate for Republic of Korea | FRED | St. Louis Fed</w:t>
      </w:r>
    </w:p>
    <w:p w14:paraId="2713F31E" w14:textId="77777777" w:rsidR="00DF2FD6" w:rsidRDefault="00000000">
      <w:pPr>
        <w:pStyle w:val="BodyText"/>
      </w:pPr>
      <w:hyperlink r:id="rId152">
        <w:r>
          <w:rPr>
            <w:rStyle w:val="Hyperlink"/>
          </w:rPr>
          <w:t>https://fred.stlouisfed.org/data/INTDSRKRM193N</w:t>
        </w:r>
      </w:hyperlink>
    </w:p>
    <w:p w14:paraId="4362958C" w14:textId="77777777" w:rsidR="00DF2FD6" w:rsidRDefault="00000000">
      <w:pPr>
        <w:pStyle w:val="BodyText"/>
      </w:pPr>
      <w:hyperlink r:id="rId153" w:anchor=":~:text=spillovers%20and%20synchronised%20asset%20price,As%20global%20liquidity%20abounds">
        <w:r>
          <w:rPr>
            <w:rStyle w:val="Hyperlink"/>
          </w:rPr>
          <w:t>[26]</w:t>
        </w:r>
      </w:hyperlink>
      <w:r>
        <w:t xml:space="preserve"> </w:t>
      </w:r>
      <w:hyperlink r:id="rId154" w:anchor=":~:text=quantitative%20easing%20%28Figure%201%29,EMEs%20%3D%20emerging%20market%20economies">
        <w:r>
          <w:rPr>
            <w:rStyle w:val="Hyperlink"/>
          </w:rPr>
          <w:t>[27]</w:t>
        </w:r>
      </w:hyperlink>
      <w:r>
        <w:t xml:space="preserve"> The international transmission of monetary policy: Korea's experience</w:t>
      </w:r>
    </w:p>
    <w:p w14:paraId="380FF8EC" w14:textId="77777777" w:rsidR="00DF2FD6" w:rsidRDefault="00000000">
      <w:pPr>
        <w:pStyle w:val="BodyText"/>
      </w:pPr>
      <w:hyperlink r:id="rId155">
        <w:r>
          <w:rPr>
            <w:rStyle w:val="Hyperlink"/>
          </w:rPr>
          <w:t>https://www.bis.org/publ/bppdf/bispap78n.pdf</w:t>
        </w:r>
      </w:hyperlink>
    </w:p>
    <w:p w14:paraId="57CD4023" w14:textId="77777777" w:rsidR="00DF2FD6" w:rsidRDefault="00000000">
      <w:pPr>
        <w:pStyle w:val="BodyText"/>
      </w:pPr>
      <w:hyperlink r:id="rId156" w:anchor=":~:text=year,when%20yields%20are%20high%2C%20any">
        <w:r>
          <w:rPr>
            <w:rStyle w:val="Hyperlink"/>
          </w:rPr>
          <w:t>[30]</w:t>
        </w:r>
      </w:hyperlink>
      <w:r>
        <w:t xml:space="preserve"> </w:t>
      </w:r>
      <w:hyperlink r:id="rId157" w:anchor=":~:text=positive%20interest%20rate%20sensitivity%20among,term%20yield%20pickups">
        <w:r>
          <w:rPr>
            <w:rStyle w:val="Hyperlink"/>
          </w:rPr>
          <w:t>[31]</w:t>
        </w:r>
      </w:hyperlink>
      <w:r>
        <w:t xml:space="preserve"> indexes.nasdaqomx.com</w:t>
      </w:r>
    </w:p>
    <w:p w14:paraId="782266B6" w14:textId="77777777" w:rsidR="00DF2FD6" w:rsidRDefault="00000000">
      <w:pPr>
        <w:pStyle w:val="BodyText"/>
      </w:pPr>
      <w:hyperlink r:id="rId158">
        <w:r>
          <w:rPr>
            <w:rStyle w:val="Hyperlink"/>
          </w:rPr>
          <w:t>https://indexes.nasdaqomx.com/docs/Interest%20rate%20sensitivity%20of%20the%20Nasdaq-100.pdf</w:t>
        </w:r>
      </w:hyperlink>
    </w:p>
    <w:p w14:paraId="5ACB58D0" w14:textId="77777777" w:rsidR="00DF2FD6" w:rsidRDefault="00000000">
      <w:pPr>
        <w:pStyle w:val="BodyText"/>
      </w:pPr>
      <w:hyperlink r:id="rId159" w:anchor=":~:text=Brookings%20www,in%20Treasury%20securities%20and">
        <w:r>
          <w:rPr>
            <w:rStyle w:val="Hyperlink"/>
          </w:rPr>
          <w:t>[40]</w:t>
        </w:r>
      </w:hyperlink>
      <w:r>
        <w:t xml:space="preserve"> What did the Fed do in response to the COVID-19 crisis? | Brookings</w:t>
      </w:r>
    </w:p>
    <w:p w14:paraId="461B17C7" w14:textId="77777777" w:rsidR="00DF2FD6" w:rsidRDefault="00000000">
      <w:pPr>
        <w:pStyle w:val="BodyText"/>
      </w:pPr>
      <w:hyperlink r:id="rId160">
        <w:r>
          <w:rPr>
            <w:rStyle w:val="Hyperlink"/>
          </w:rPr>
          <w:t>https://www.brookings.edu/articles/fed-response-to-covid19/</w:t>
        </w:r>
      </w:hyperlink>
    </w:p>
    <w:p w14:paraId="186BFC92" w14:textId="77777777" w:rsidR="00DF2FD6" w:rsidRDefault="00000000">
      <w:pPr>
        <w:pStyle w:val="BodyText"/>
      </w:pPr>
      <w:hyperlink r:id="rId161" w:anchor=":~:text=Federal%20Reserve%20rapidly%20increased%20the,Information">
        <w:r>
          <w:rPr>
            <w:rStyle w:val="Hyperlink"/>
          </w:rPr>
          <w:t>[46]</w:t>
        </w:r>
      </w:hyperlink>
      <w:r>
        <w:t xml:space="preserve"> </w:t>
      </w:r>
      <w:hyperlink r:id="rId162" w:anchor=":~:text=November%202024%20Abstract%20We%20examine,However">
        <w:r>
          <w:rPr>
            <w:rStyle w:val="Hyperlink"/>
          </w:rPr>
          <w:t>[47]</w:t>
        </w:r>
      </w:hyperlink>
      <w:r>
        <w:t xml:space="preserve"> </w:t>
      </w:r>
      <w:hyperlink r:id="rId163" w:anchor=":~:text=We%20examine%20the%20relationship%20between,cash%20flows%20and%20the%20risk">
        <w:r>
          <w:rPr>
            <w:rStyle w:val="Hyperlink"/>
          </w:rPr>
          <w:t>[53]</w:t>
        </w:r>
      </w:hyperlink>
      <w:r>
        <w:t xml:space="preserve"> </w:t>
      </w:r>
      <w:hyperlink r:id="rId164" w:anchor=":~:text=overall%20relationship%20between%20interest%20rate,with%20expected%20inflation%20sensitivity%2C%20and">
        <w:r>
          <w:rPr>
            <w:rStyle w:val="Hyperlink"/>
          </w:rPr>
          <w:t>[54]</w:t>
        </w:r>
      </w:hyperlink>
      <w:r>
        <w:t xml:space="preserve"> business.columbia.edu</w:t>
      </w:r>
    </w:p>
    <w:p w14:paraId="01C52743" w14:textId="77777777" w:rsidR="00DF2FD6" w:rsidRDefault="00000000">
      <w:pPr>
        <w:pStyle w:val="BodyText"/>
      </w:pPr>
      <w:hyperlink r:id="rId165">
        <w:r>
          <w:rPr>
            <w:rStyle w:val="Hyperlink"/>
          </w:rPr>
          <w:t>https://business.columbia.edu/sites/default/files-efs/citation_file_upload/Interest%20rate%20sensitivity%20and%20growth_Nov13_2024.pdf</w:t>
        </w:r>
      </w:hyperlink>
    </w:p>
    <w:p w14:paraId="037FEDFD" w14:textId="77777777" w:rsidR="00DF2FD6" w:rsidRDefault="00000000">
      <w:pPr>
        <w:pStyle w:val="BodyText"/>
      </w:pPr>
      <w:hyperlink r:id="rId166" w:anchor=":~:text=KOSPI%20nears%20all,jung">
        <w:r>
          <w:rPr>
            <w:rStyle w:val="Hyperlink"/>
          </w:rPr>
          <w:t>[50]</w:t>
        </w:r>
      </w:hyperlink>
      <w:r>
        <w:t xml:space="preserve"> KOSPI nears all-time high as most stocks remain far below peaks</w:t>
      </w:r>
    </w:p>
    <w:p w14:paraId="5DD9C2AD" w14:textId="75826B84" w:rsidR="006721EA" w:rsidRDefault="00000000">
      <w:pPr>
        <w:pStyle w:val="BodyText"/>
      </w:pPr>
      <w:hyperlink r:id="rId167">
        <w:r>
          <w:rPr>
            <w:rStyle w:val="Hyperlink"/>
          </w:rPr>
          <w:t>https://www.chosun.com/english/market-money-en/2025/09/08/QJRGJK2UXFE57OVL7V3PBFNH7E/</w:t>
        </w:r>
      </w:hyperlink>
    </w:p>
    <w:p w14:paraId="276396D3" w14:textId="77777777" w:rsidR="006721EA" w:rsidRDefault="006721EA">
      <w:r>
        <w:br w:type="page"/>
      </w:r>
    </w:p>
    <w:p w14:paraId="5D63EE12" w14:textId="77777777" w:rsidR="006721EA" w:rsidRPr="006721EA" w:rsidRDefault="006721EA" w:rsidP="006721EA">
      <w:pPr>
        <w:pStyle w:val="BodyText"/>
        <w:rPr>
          <w:lang w:val="en-US"/>
        </w:rPr>
      </w:pPr>
      <w:r w:rsidRPr="006721EA">
        <w:rPr>
          <w:lang w:val="en-US"/>
        </w:rPr>
        <w:lastRenderedPageBreak/>
        <w:t xml:space="preserve">Here’s the </w:t>
      </w:r>
      <w:r w:rsidRPr="006721EA">
        <w:rPr>
          <w:b/>
          <w:bCs/>
          <w:lang w:val="en-US"/>
        </w:rPr>
        <w:t>combined, updated report</w:t>
      </w:r>
      <w:r w:rsidRPr="006721EA">
        <w:rPr>
          <w:lang w:val="en-US"/>
        </w:rPr>
        <w:t xml:space="preserve"> with the new section on corporate funding structures integrated into the main flow. I’ve slotted it into the “Why NASDAQ Reacts More Strongly than KOSDAQ” section (since that’s where it naturally belongs) and expanded the conclusion to reflect it.</w:t>
      </w:r>
    </w:p>
    <w:p w14:paraId="5DB11602" w14:textId="77777777" w:rsidR="006721EA" w:rsidRPr="006721EA" w:rsidRDefault="006721EA" w:rsidP="006721EA">
      <w:pPr>
        <w:pStyle w:val="BodyText"/>
        <w:rPr>
          <w:lang w:val="en-US"/>
        </w:rPr>
      </w:pPr>
      <w:r w:rsidRPr="006721EA">
        <w:rPr>
          <w:lang w:val="en-US"/>
        </w:rPr>
        <w:pict w14:anchorId="49CCF8E0">
          <v:rect id="_x0000_i1086" style="width:0;height:1.5pt" o:hralign="center" o:hrstd="t" o:hr="t" fillcolor="#a0a0a0" stroked="f"/>
        </w:pict>
      </w:r>
    </w:p>
    <w:p w14:paraId="6DA63306" w14:textId="77777777" w:rsidR="006721EA" w:rsidRPr="006721EA" w:rsidRDefault="006721EA" w:rsidP="006721EA">
      <w:pPr>
        <w:pStyle w:val="BodyText"/>
        <w:rPr>
          <w:b/>
          <w:bCs/>
          <w:lang w:val="en-US"/>
        </w:rPr>
      </w:pPr>
      <w:r w:rsidRPr="006721EA">
        <w:rPr>
          <w:b/>
          <w:bCs/>
          <w:lang w:val="en-US"/>
        </w:rPr>
        <w:t>Comparative Impact of Central Bank Policy Rates on NASDAQ and KOSDAQ (2005–2025)</w:t>
      </w:r>
    </w:p>
    <w:p w14:paraId="1C006764" w14:textId="77777777" w:rsidR="006721EA" w:rsidRPr="006721EA" w:rsidRDefault="006721EA" w:rsidP="006721EA">
      <w:pPr>
        <w:pStyle w:val="BodyText"/>
        <w:rPr>
          <w:lang w:val="en-US"/>
        </w:rPr>
      </w:pPr>
      <w:r w:rsidRPr="006721EA">
        <w:rPr>
          <w:i/>
          <w:iCs/>
          <w:lang w:val="en-US"/>
        </w:rPr>
        <w:t>(Intro, Data Overview, Historical Reaction Patterns, Post-Crisis, Recent Years — unchanged from the original draft above)</w:t>
      </w:r>
    </w:p>
    <w:p w14:paraId="568B24B1" w14:textId="77777777" w:rsidR="006721EA" w:rsidRPr="006721EA" w:rsidRDefault="006721EA" w:rsidP="006721EA">
      <w:pPr>
        <w:pStyle w:val="BodyText"/>
        <w:rPr>
          <w:lang w:val="en-US"/>
        </w:rPr>
      </w:pPr>
      <w:r w:rsidRPr="006721EA">
        <w:rPr>
          <w:lang w:val="en-US"/>
        </w:rPr>
        <w:pict w14:anchorId="57748AB5">
          <v:rect id="_x0000_i1087" style="width:0;height:1.5pt" o:hralign="center" o:hrstd="t" o:hr="t" fillcolor="#a0a0a0" stroked="f"/>
        </w:pict>
      </w:r>
    </w:p>
    <w:p w14:paraId="330B9170" w14:textId="77777777" w:rsidR="006721EA" w:rsidRPr="006721EA" w:rsidRDefault="006721EA" w:rsidP="006721EA">
      <w:pPr>
        <w:pStyle w:val="BodyText"/>
        <w:rPr>
          <w:b/>
          <w:bCs/>
          <w:lang w:val="en-US"/>
        </w:rPr>
      </w:pPr>
      <w:r w:rsidRPr="006721EA">
        <w:rPr>
          <w:b/>
          <w:bCs/>
          <w:lang w:val="en-US"/>
        </w:rPr>
        <w:t>Why NASDAQ Reacts More Strongly than KOSDAQ</w:t>
      </w:r>
    </w:p>
    <w:p w14:paraId="5DD7482F" w14:textId="77777777" w:rsidR="006721EA" w:rsidRPr="006721EA" w:rsidRDefault="006721EA" w:rsidP="006721EA">
      <w:pPr>
        <w:pStyle w:val="BodyText"/>
        <w:rPr>
          <w:lang w:val="en-US"/>
        </w:rPr>
      </w:pPr>
      <w:r w:rsidRPr="006721EA">
        <w:rPr>
          <w:lang w:val="en-US"/>
        </w:rPr>
        <w:t>Several factors explain the observed differences in monetary policy sensitivity between the NASDAQ and KOSDAQ:</w:t>
      </w:r>
    </w:p>
    <w:p w14:paraId="26F90C64" w14:textId="77777777" w:rsidR="006721EA" w:rsidRPr="006721EA" w:rsidRDefault="006721EA" w:rsidP="006721EA">
      <w:pPr>
        <w:pStyle w:val="BodyText"/>
        <w:rPr>
          <w:b/>
          <w:bCs/>
          <w:lang w:val="en-US"/>
        </w:rPr>
      </w:pPr>
      <w:r w:rsidRPr="006721EA">
        <w:rPr>
          <w:b/>
          <w:bCs/>
          <w:lang w:val="en-US"/>
        </w:rPr>
        <w:t>1. Index Composition and Duration of Cash Flows</w:t>
      </w:r>
    </w:p>
    <w:p w14:paraId="3B5D1F96" w14:textId="77777777" w:rsidR="006721EA" w:rsidRPr="006721EA" w:rsidRDefault="006721EA" w:rsidP="006721EA">
      <w:pPr>
        <w:pStyle w:val="BodyText"/>
        <w:rPr>
          <w:lang w:val="en-US"/>
        </w:rPr>
      </w:pPr>
      <w:r w:rsidRPr="006721EA">
        <w:rPr>
          <w:lang w:val="en-US"/>
        </w:rPr>
        <w:t xml:space="preserve">NASDAQ is dominated by large-cap </w:t>
      </w:r>
      <w:r w:rsidRPr="006721EA">
        <w:rPr>
          <w:b/>
          <w:bCs/>
          <w:lang w:val="en-US"/>
        </w:rPr>
        <w:t>growth and technology companies</w:t>
      </w:r>
      <w:r w:rsidRPr="006721EA">
        <w:rPr>
          <w:lang w:val="en-US"/>
        </w:rPr>
        <w:t xml:space="preserve"> (Apple, Microsoft, Google, etc.) whose valuations hinge on expectations of earnings many years in the future. Such </w:t>
      </w:r>
      <w:r w:rsidRPr="006721EA">
        <w:rPr>
          <w:b/>
          <w:bCs/>
          <w:lang w:val="en-US"/>
        </w:rPr>
        <w:t>“long-duration” equities are highly sensitive to the discount rate</w:t>
      </w:r>
      <w:r w:rsidRPr="006721EA">
        <w:rPr>
          <w:lang w:val="en-US"/>
        </w:rPr>
        <w:t>. When interest rates rise, the present value of distant profits falls substantially – a core reason NASDAQ falters under tightening . Conversely, when rates fall or are low, these stocks’ valuations can expand dramatically.</w:t>
      </w:r>
    </w:p>
    <w:p w14:paraId="7E918D5D" w14:textId="77777777" w:rsidR="006721EA" w:rsidRPr="006721EA" w:rsidRDefault="006721EA" w:rsidP="006721EA">
      <w:pPr>
        <w:pStyle w:val="BodyText"/>
        <w:rPr>
          <w:lang w:val="en-US"/>
        </w:rPr>
      </w:pPr>
      <w:r w:rsidRPr="006721EA">
        <w:rPr>
          <w:lang w:val="en-US"/>
        </w:rPr>
        <w:t xml:space="preserve">The KOSDAQ, while also tech-oriented, consists of </w:t>
      </w:r>
      <w:r w:rsidRPr="006721EA">
        <w:rPr>
          <w:b/>
          <w:bCs/>
          <w:lang w:val="en-US"/>
        </w:rPr>
        <w:t>smaller firms and startups</w:t>
      </w:r>
      <w:r w:rsidRPr="006721EA">
        <w:rPr>
          <w:lang w:val="en-US"/>
        </w:rPr>
        <w:t>, many of which may not be profitable at all or have erratic earnings. Their stock prices can be driven more by speculative narratives than by traditional DCF valuation. This means that at times KOSDAQ stocks behave less rationally with respect to interest rates – e.g., they can rise in a rising rate environment if a hot theme (say, biotech or batteries) is in play, or fall despite low rates if a bubble bursts.</w:t>
      </w:r>
    </w:p>
    <w:p w14:paraId="30E91AC1" w14:textId="77777777" w:rsidR="006721EA" w:rsidRPr="006721EA" w:rsidRDefault="006721EA" w:rsidP="006721EA">
      <w:pPr>
        <w:pStyle w:val="BodyText"/>
        <w:rPr>
          <w:lang w:val="en-US"/>
        </w:rPr>
      </w:pPr>
      <w:r w:rsidRPr="006721EA">
        <w:rPr>
          <w:lang w:val="en-US"/>
        </w:rPr>
        <w:pict w14:anchorId="2CFA19B9">
          <v:rect id="_x0000_i1088" style="width:0;height:1.5pt" o:hralign="center" o:hrstd="t" o:hr="t" fillcolor="#a0a0a0" stroked="f"/>
        </w:pict>
      </w:r>
    </w:p>
    <w:p w14:paraId="79B41C3A" w14:textId="77777777" w:rsidR="006721EA" w:rsidRPr="006721EA" w:rsidRDefault="006721EA" w:rsidP="006721EA">
      <w:pPr>
        <w:pStyle w:val="BodyText"/>
        <w:rPr>
          <w:b/>
          <w:bCs/>
          <w:lang w:val="en-US"/>
        </w:rPr>
      </w:pPr>
      <w:r w:rsidRPr="006721EA">
        <w:rPr>
          <w:b/>
          <w:bCs/>
          <w:lang w:val="en-US"/>
        </w:rPr>
        <w:t>2. Global vs Domestic Investor Base</w:t>
      </w:r>
    </w:p>
    <w:p w14:paraId="0DABCD2B" w14:textId="77777777" w:rsidR="006721EA" w:rsidRPr="006721EA" w:rsidRDefault="006721EA" w:rsidP="006721EA">
      <w:pPr>
        <w:pStyle w:val="BodyText"/>
        <w:rPr>
          <w:lang w:val="en-US"/>
        </w:rPr>
      </w:pPr>
      <w:r w:rsidRPr="006721EA">
        <w:rPr>
          <w:lang w:val="en-US"/>
        </w:rPr>
        <w:t xml:space="preserve">The NASDAQ is a </w:t>
      </w:r>
      <w:r w:rsidRPr="006721EA">
        <w:rPr>
          <w:b/>
          <w:bCs/>
          <w:lang w:val="en-US"/>
        </w:rPr>
        <w:t>global investment playground</w:t>
      </w:r>
      <w:r w:rsidRPr="006721EA">
        <w:rPr>
          <w:lang w:val="en-US"/>
        </w:rPr>
        <w:t>, attracting massive foreign institutional capital. When the Fed changes course, these investors quickly reallocate away or toward NASDAQ, amplifying moves.</w:t>
      </w:r>
    </w:p>
    <w:p w14:paraId="12EA93E9" w14:textId="77777777" w:rsidR="006721EA" w:rsidRPr="006721EA" w:rsidRDefault="006721EA" w:rsidP="006721EA">
      <w:pPr>
        <w:pStyle w:val="BodyText"/>
        <w:rPr>
          <w:lang w:val="en-US"/>
        </w:rPr>
      </w:pPr>
      <w:r w:rsidRPr="006721EA">
        <w:rPr>
          <w:lang w:val="en-US"/>
        </w:rPr>
        <w:t xml:space="preserve">The KOSDAQ’s investor base is </w:t>
      </w:r>
      <w:r w:rsidRPr="006721EA">
        <w:rPr>
          <w:b/>
          <w:bCs/>
          <w:lang w:val="en-US"/>
        </w:rPr>
        <w:t>primarily local retail and domestic institutions</w:t>
      </w:r>
      <w:r w:rsidRPr="006721EA">
        <w:rPr>
          <w:lang w:val="en-US"/>
        </w:rPr>
        <w:t xml:space="preserve">, with far lower foreign ownership. Retail investors may be less immediately reactive to central bank signals and more driven by themes. Domestic institutions often allocate steadily, </w:t>
      </w:r>
      <w:r w:rsidRPr="006721EA">
        <w:rPr>
          <w:lang w:val="en-US"/>
        </w:rPr>
        <w:lastRenderedPageBreak/>
        <w:t xml:space="preserve">cushioning knee-jerk reactions. Thus, </w:t>
      </w:r>
      <w:r w:rsidRPr="006721EA">
        <w:rPr>
          <w:b/>
          <w:bCs/>
          <w:lang w:val="en-US"/>
        </w:rPr>
        <w:t>NASDAQ reflects global liquidity instantly</w:t>
      </w:r>
      <w:r w:rsidRPr="006721EA">
        <w:rPr>
          <w:lang w:val="en-US"/>
        </w:rPr>
        <w:t xml:space="preserve">, whereas </w:t>
      </w:r>
      <w:r w:rsidRPr="006721EA">
        <w:rPr>
          <w:b/>
          <w:bCs/>
          <w:lang w:val="en-US"/>
        </w:rPr>
        <w:t>KOSDAQ’s response is more domestically conditioned and slower</w:t>
      </w:r>
      <w:r w:rsidRPr="006721EA">
        <w:rPr>
          <w:lang w:val="en-US"/>
        </w:rPr>
        <w:t>.</w:t>
      </w:r>
    </w:p>
    <w:p w14:paraId="4C390857" w14:textId="77777777" w:rsidR="006721EA" w:rsidRPr="006721EA" w:rsidRDefault="006721EA" w:rsidP="006721EA">
      <w:pPr>
        <w:pStyle w:val="BodyText"/>
        <w:rPr>
          <w:lang w:val="en-US"/>
        </w:rPr>
      </w:pPr>
      <w:r w:rsidRPr="006721EA">
        <w:rPr>
          <w:lang w:val="en-US"/>
        </w:rPr>
        <w:pict w14:anchorId="11B98B20">
          <v:rect id="_x0000_i1089" style="width:0;height:1.5pt" o:hralign="center" o:hrstd="t" o:hr="t" fillcolor="#a0a0a0" stroked="f"/>
        </w:pict>
      </w:r>
    </w:p>
    <w:p w14:paraId="4301E25F" w14:textId="77777777" w:rsidR="006721EA" w:rsidRPr="006721EA" w:rsidRDefault="006721EA" w:rsidP="006721EA">
      <w:pPr>
        <w:pStyle w:val="BodyText"/>
        <w:rPr>
          <w:b/>
          <w:bCs/>
          <w:lang w:val="en-US"/>
        </w:rPr>
      </w:pPr>
      <w:r w:rsidRPr="006721EA">
        <w:rPr>
          <w:b/>
          <w:bCs/>
          <w:lang w:val="en-US"/>
        </w:rPr>
        <w:t>3. Liquidity and Market Depth</w:t>
      </w:r>
    </w:p>
    <w:p w14:paraId="3A563E83" w14:textId="77777777" w:rsidR="006721EA" w:rsidRPr="006721EA" w:rsidRDefault="006721EA" w:rsidP="006721EA">
      <w:pPr>
        <w:pStyle w:val="BodyText"/>
        <w:rPr>
          <w:lang w:val="en-US"/>
        </w:rPr>
      </w:pPr>
      <w:r w:rsidRPr="006721EA">
        <w:rPr>
          <w:lang w:val="en-US"/>
        </w:rPr>
        <w:t xml:space="preserve">NASDAQ’s deep liquidity ensures that </w:t>
      </w:r>
      <w:r w:rsidRPr="006721EA">
        <w:rPr>
          <w:b/>
          <w:bCs/>
          <w:lang w:val="en-US"/>
        </w:rPr>
        <w:t>new information, especially about policy, is priced in immediately</w:t>
      </w:r>
      <w:r w:rsidRPr="006721EA">
        <w:rPr>
          <w:lang w:val="en-US"/>
        </w:rPr>
        <w:t xml:space="preserve">. KOSDAQ, with lower liquidity, can overshoot or undershoot and is prone to </w:t>
      </w:r>
      <w:r w:rsidRPr="006721EA">
        <w:rPr>
          <w:b/>
          <w:bCs/>
          <w:lang w:val="en-US"/>
        </w:rPr>
        <w:t>policy interventions</w:t>
      </w:r>
      <w:r w:rsidRPr="006721EA">
        <w:rPr>
          <w:lang w:val="en-US"/>
        </w:rPr>
        <w:t xml:space="preserve"> (e.g., Korea’s periodic short-selling bans). This sometimes decouples it from strict interest-rate dynamics.</w:t>
      </w:r>
    </w:p>
    <w:p w14:paraId="19A905ED" w14:textId="77777777" w:rsidR="006721EA" w:rsidRPr="006721EA" w:rsidRDefault="006721EA" w:rsidP="006721EA">
      <w:pPr>
        <w:pStyle w:val="BodyText"/>
        <w:rPr>
          <w:lang w:val="en-US"/>
        </w:rPr>
      </w:pPr>
      <w:r w:rsidRPr="006721EA">
        <w:rPr>
          <w:lang w:val="en-US"/>
        </w:rPr>
        <w:pict w14:anchorId="161B17F4">
          <v:rect id="_x0000_i1090" style="width:0;height:1.5pt" o:hralign="center" o:hrstd="t" o:hr="t" fillcolor="#a0a0a0" stroked="f"/>
        </w:pict>
      </w:r>
    </w:p>
    <w:p w14:paraId="045522E1" w14:textId="77777777" w:rsidR="006721EA" w:rsidRPr="006721EA" w:rsidRDefault="006721EA" w:rsidP="006721EA">
      <w:pPr>
        <w:pStyle w:val="BodyText"/>
        <w:rPr>
          <w:b/>
          <w:bCs/>
          <w:lang w:val="en-US"/>
        </w:rPr>
      </w:pPr>
      <w:r w:rsidRPr="006721EA">
        <w:rPr>
          <w:b/>
          <w:bCs/>
          <w:lang w:val="en-US"/>
        </w:rPr>
        <w:t>4. Policy Communication and Forward Guidance</w:t>
      </w:r>
    </w:p>
    <w:p w14:paraId="5127B3AE" w14:textId="77777777" w:rsidR="006721EA" w:rsidRPr="006721EA" w:rsidRDefault="006721EA" w:rsidP="006721EA">
      <w:pPr>
        <w:pStyle w:val="BodyText"/>
        <w:rPr>
          <w:lang w:val="en-US"/>
        </w:rPr>
      </w:pPr>
      <w:r w:rsidRPr="006721EA">
        <w:rPr>
          <w:lang w:val="en-US"/>
        </w:rPr>
        <w:t xml:space="preserve">The Fed’s forward guidance is dissected word by word by NASDAQ investors. Tech stocks, being richly valued, are extremely </w:t>
      </w:r>
      <w:r w:rsidRPr="006721EA">
        <w:rPr>
          <w:b/>
          <w:bCs/>
          <w:lang w:val="en-US"/>
        </w:rPr>
        <w:t>sensitive to even subtle shifts in Fed rhetoric</w:t>
      </w:r>
      <w:r w:rsidRPr="006721EA">
        <w:rPr>
          <w:lang w:val="en-US"/>
        </w:rPr>
        <w:t xml:space="preserve">. In late 2020, when the Fed promised “lower for longer,” NASDAQ soared. In late 2021, when Powell pivoted hawkish, NASDAQ slid </w:t>
      </w:r>
      <w:r w:rsidRPr="006721EA">
        <w:rPr>
          <w:i/>
          <w:iCs/>
          <w:lang w:val="en-US"/>
        </w:rPr>
        <w:t>before</w:t>
      </w:r>
      <w:r w:rsidRPr="006721EA">
        <w:rPr>
          <w:lang w:val="en-US"/>
        </w:rPr>
        <w:t xml:space="preserve"> hikes began.</w:t>
      </w:r>
    </w:p>
    <w:p w14:paraId="7B24FEE9" w14:textId="77777777" w:rsidR="006721EA" w:rsidRPr="006721EA" w:rsidRDefault="006721EA" w:rsidP="006721EA">
      <w:pPr>
        <w:pStyle w:val="BodyText"/>
        <w:rPr>
          <w:lang w:val="en-US"/>
        </w:rPr>
      </w:pPr>
      <w:r w:rsidRPr="006721EA">
        <w:rPr>
          <w:lang w:val="en-US"/>
        </w:rPr>
        <w:t xml:space="preserve">By contrast, the BOK’s communication is more cautious, domestically focused, and less impactful internationally. Many KOSDAQ investors respond more to </w:t>
      </w:r>
      <w:r w:rsidRPr="006721EA">
        <w:rPr>
          <w:b/>
          <w:bCs/>
          <w:lang w:val="en-US"/>
        </w:rPr>
        <w:t>global signals</w:t>
      </w:r>
      <w:r w:rsidRPr="006721EA">
        <w:rPr>
          <w:lang w:val="en-US"/>
        </w:rPr>
        <w:t xml:space="preserve"> than to the BOK’s nuanced statements.</w:t>
      </w:r>
    </w:p>
    <w:p w14:paraId="555435A4" w14:textId="77777777" w:rsidR="006721EA" w:rsidRPr="006721EA" w:rsidRDefault="006721EA" w:rsidP="006721EA">
      <w:pPr>
        <w:pStyle w:val="BodyText"/>
        <w:rPr>
          <w:lang w:val="en-US"/>
        </w:rPr>
      </w:pPr>
      <w:r w:rsidRPr="006721EA">
        <w:rPr>
          <w:lang w:val="en-US"/>
        </w:rPr>
        <w:pict w14:anchorId="2872B080">
          <v:rect id="_x0000_i1091" style="width:0;height:1.5pt" o:hralign="center" o:hrstd="t" o:hr="t" fillcolor="#a0a0a0" stroked="f"/>
        </w:pict>
      </w:r>
    </w:p>
    <w:p w14:paraId="1A9ABE4E" w14:textId="77777777" w:rsidR="006721EA" w:rsidRPr="006721EA" w:rsidRDefault="006721EA" w:rsidP="006721EA">
      <w:pPr>
        <w:pStyle w:val="BodyText"/>
        <w:rPr>
          <w:b/>
          <w:bCs/>
          <w:lang w:val="en-US"/>
        </w:rPr>
      </w:pPr>
      <w:r w:rsidRPr="006721EA">
        <w:rPr>
          <w:b/>
          <w:bCs/>
          <w:lang w:val="en-US"/>
        </w:rPr>
        <w:t>5. Economic and Monetary Context</w:t>
      </w:r>
    </w:p>
    <w:p w14:paraId="3D837520" w14:textId="77777777" w:rsidR="006721EA" w:rsidRPr="006721EA" w:rsidRDefault="006721EA" w:rsidP="006721EA">
      <w:pPr>
        <w:pStyle w:val="BodyText"/>
        <w:rPr>
          <w:lang w:val="en-US"/>
        </w:rPr>
      </w:pPr>
      <w:r w:rsidRPr="006721EA">
        <w:rPr>
          <w:lang w:val="en-US"/>
        </w:rPr>
        <w:t xml:space="preserve">The U.S. sets the tone of the global cycle. The Fed’s tightening or easing affects global risk premia, and NASDAQ reacts immediately. Korea’s BOK sometimes raises rates for </w:t>
      </w:r>
      <w:r w:rsidRPr="006721EA">
        <w:rPr>
          <w:b/>
          <w:bCs/>
          <w:lang w:val="en-US"/>
        </w:rPr>
        <w:t>macroprudential goals</w:t>
      </w:r>
      <w:r w:rsidRPr="006721EA">
        <w:rPr>
          <w:lang w:val="en-US"/>
        </w:rPr>
        <w:t xml:space="preserve"> (like cooling housing debt) even when global conditions are benign; in such cases, KOSDAQ does not always follow the policy signal in the same way.</w:t>
      </w:r>
    </w:p>
    <w:p w14:paraId="77312EB4" w14:textId="77777777" w:rsidR="006721EA" w:rsidRPr="006721EA" w:rsidRDefault="006721EA" w:rsidP="006721EA">
      <w:pPr>
        <w:pStyle w:val="BodyText"/>
        <w:rPr>
          <w:lang w:val="en-US"/>
        </w:rPr>
      </w:pPr>
      <w:r w:rsidRPr="006721EA">
        <w:rPr>
          <w:lang w:val="en-US"/>
        </w:rPr>
        <w:pict w14:anchorId="52E9F591">
          <v:rect id="_x0000_i1092" style="width:0;height:1.5pt" o:hralign="center" o:hrstd="t" o:hr="t" fillcolor="#a0a0a0" stroked="f"/>
        </w:pict>
      </w:r>
    </w:p>
    <w:p w14:paraId="34D9A6AD" w14:textId="77777777" w:rsidR="006721EA" w:rsidRPr="006721EA" w:rsidRDefault="006721EA" w:rsidP="006721EA">
      <w:pPr>
        <w:pStyle w:val="BodyText"/>
        <w:rPr>
          <w:b/>
          <w:bCs/>
          <w:lang w:val="en-US"/>
        </w:rPr>
      </w:pPr>
      <w:r w:rsidRPr="006721EA">
        <w:rPr>
          <w:b/>
          <w:bCs/>
          <w:lang w:val="en-US"/>
        </w:rPr>
        <w:t>6. Corporate Funding Structures &amp; Policy-Rate Transmission</w:t>
      </w:r>
    </w:p>
    <w:p w14:paraId="1CDC1B48" w14:textId="77777777" w:rsidR="006721EA" w:rsidRPr="006721EA" w:rsidRDefault="006721EA" w:rsidP="006721EA">
      <w:pPr>
        <w:pStyle w:val="BodyText"/>
        <w:rPr>
          <w:lang w:val="en-US"/>
        </w:rPr>
      </w:pPr>
      <w:r w:rsidRPr="006721EA">
        <w:rPr>
          <w:lang w:val="en-US"/>
        </w:rPr>
        <w:t>A crucial structural difference lies in how firms finance themselves:</w:t>
      </w:r>
    </w:p>
    <w:p w14:paraId="430F6A3B" w14:textId="77777777" w:rsidR="006721EA" w:rsidRPr="006721EA" w:rsidRDefault="006721EA" w:rsidP="006721EA">
      <w:pPr>
        <w:pStyle w:val="BodyText"/>
        <w:numPr>
          <w:ilvl w:val="0"/>
          <w:numId w:val="10"/>
        </w:numPr>
        <w:rPr>
          <w:lang w:val="en-US"/>
        </w:rPr>
      </w:pPr>
      <w:r w:rsidRPr="006721EA">
        <w:rPr>
          <w:b/>
          <w:bCs/>
          <w:lang w:val="en-US"/>
        </w:rPr>
        <w:t>United States (market-based):</w:t>
      </w:r>
      <w:r w:rsidRPr="006721EA">
        <w:rPr>
          <w:lang w:val="en-US"/>
        </w:rPr>
        <w:t xml:space="preserve"> More than </w:t>
      </w:r>
      <w:r w:rsidRPr="006721EA">
        <w:rPr>
          <w:b/>
          <w:bCs/>
          <w:lang w:val="en-US"/>
        </w:rPr>
        <w:t>half of U.S. corporate debt is in the form of bonds</w:t>
      </w:r>
      <w:r w:rsidRPr="006721EA">
        <w:rPr>
          <w:lang w:val="en-US"/>
        </w:rPr>
        <w:t xml:space="preserve"> (~56% as of 2025) . This means that the Fed’s actions </w:t>
      </w:r>
      <w:r w:rsidRPr="006721EA">
        <w:rPr>
          <w:b/>
          <w:bCs/>
          <w:lang w:val="en-US"/>
        </w:rPr>
        <w:t>immediately reprice capital market yields</w:t>
      </w:r>
      <w:r w:rsidRPr="006721EA">
        <w:rPr>
          <w:lang w:val="en-US"/>
        </w:rPr>
        <w:t>, affecting bond spreads, equity discount rates, and valuations. NASDAQ firms, especially large tech, are directly exposed to changes in market yields that flow from Fed policy.</w:t>
      </w:r>
    </w:p>
    <w:p w14:paraId="416B2171" w14:textId="77777777" w:rsidR="006721EA" w:rsidRPr="006721EA" w:rsidRDefault="006721EA" w:rsidP="006721EA">
      <w:pPr>
        <w:pStyle w:val="BodyText"/>
        <w:numPr>
          <w:ilvl w:val="0"/>
          <w:numId w:val="10"/>
        </w:numPr>
        <w:rPr>
          <w:lang w:val="en-US"/>
        </w:rPr>
      </w:pPr>
      <w:r w:rsidRPr="006721EA">
        <w:rPr>
          <w:b/>
          <w:bCs/>
          <w:lang w:val="en-US"/>
        </w:rPr>
        <w:t>Korea (bank-centered):</w:t>
      </w:r>
      <w:r w:rsidRPr="006721EA">
        <w:rPr>
          <w:lang w:val="en-US"/>
        </w:rPr>
        <w:t xml:space="preserve"> Korean firms still rely heavily on </w:t>
      </w:r>
      <w:r w:rsidRPr="006721EA">
        <w:rPr>
          <w:b/>
          <w:bCs/>
          <w:lang w:val="en-US"/>
        </w:rPr>
        <w:t>bank loans for ~65–70% of funding</w:t>
      </w:r>
      <w:r w:rsidRPr="006721EA">
        <w:rPr>
          <w:lang w:val="en-US"/>
        </w:rPr>
        <w:t xml:space="preserve"> . SMEs (typical KOSDAQ firms) especially depend on relationship banking and domestic credit lines. Policy-rate moves affect them more through </w:t>
      </w:r>
      <w:r w:rsidRPr="006721EA">
        <w:rPr>
          <w:b/>
          <w:bCs/>
          <w:lang w:val="en-US"/>
        </w:rPr>
        <w:lastRenderedPageBreak/>
        <w:t>credit availability and bank lending standards</w:t>
      </w:r>
      <w:r w:rsidRPr="006721EA">
        <w:rPr>
          <w:lang w:val="en-US"/>
        </w:rPr>
        <w:t xml:space="preserve"> than through market discount rates. If banks buffer the shift (or if government facilities support SMEs), the </w:t>
      </w:r>
      <w:r w:rsidRPr="006721EA">
        <w:rPr>
          <w:b/>
          <w:bCs/>
          <w:lang w:val="en-US"/>
        </w:rPr>
        <w:t>equity-price response is muted or delayed</w:t>
      </w:r>
      <w:r w:rsidRPr="006721EA">
        <w:rPr>
          <w:lang w:val="en-US"/>
        </w:rPr>
        <w:t>.</w:t>
      </w:r>
    </w:p>
    <w:p w14:paraId="45EEB4E2" w14:textId="77777777" w:rsidR="006721EA" w:rsidRPr="006721EA" w:rsidRDefault="006721EA" w:rsidP="006721EA">
      <w:pPr>
        <w:pStyle w:val="BodyText"/>
        <w:rPr>
          <w:lang w:val="en-US"/>
        </w:rPr>
      </w:pPr>
      <w:r w:rsidRPr="006721EA">
        <w:rPr>
          <w:lang w:val="en-US"/>
        </w:rPr>
        <w:t xml:space="preserve">This means </w:t>
      </w:r>
      <w:r w:rsidRPr="006721EA">
        <w:rPr>
          <w:b/>
          <w:bCs/>
          <w:lang w:val="en-US"/>
        </w:rPr>
        <w:t>NASDAQ reacts faster and more violently</w:t>
      </w:r>
      <w:r w:rsidRPr="006721EA">
        <w:rPr>
          <w:lang w:val="en-US"/>
        </w:rPr>
        <w:t xml:space="preserve"> because policy-rate shifts alter discount rates in real time. </w:t>
      </w:r>
      <w:r w:rsidRPr="006721EA">
        <w:rPr>
          <w:b/>
          <w:bCs/>
          <w:lang w:val="en-US"/>
        </w:rPr>
        <w:t>KOSDAQ reacts more slowly</w:t>
      </w:r>
      <w:r w:rsidRPr="006721EA">
        <w:rPr>
          <w:lang w:val="en-US"/>
        </w:rPr>
        <w:t>, with the effect coming via earnings pressure, refinancing challenges, or sudden credit tightening.</w:t>
      </w:r>
    </w:p>
    <w:p w14:paraId="719E0ADB" w14:textId="77777777" w:rsidR="006721EA" w:rsidRPr="006721EA" w:rsidRDefault="006721EA" w:rsidP="006721EA">
      <w:pPr>
        <w:pStyle w:val="BodyText"/>
        <w:rPr>
          <w:lang w:val="en-US"/>
        </w:rPr>
      </w:pPr>
      <w:r w:rsidRPr="006721EA">
        <w:rPr>
          <w:lang w:val="en-US"/>
        </w:rPr>
        <w:pict w14:anchorId="747E980F">
          <v:rect id="_x0000_i1093" style="width:0;height:1.5pt" o:hralign="center" o:hrstd="t" o:hr="t" fillcolor="#a0a0a0" stroked="f"/>
        </w:pict>
      </w:r>
    </w:p>
    <w:p w14:paraId="57135BB5" w14:textId="77777777" w:rsidR="006721EA" w:rsidRPr="006721EA" w:rsidRDefault="006721EA" w:rsidP="006721EA">
      <w:pPr>
        <w:pStyle w:val="BodyText"/>
        <w:rPr>
          <w:b/>
          <w:bCs/>
          <w:lang w:val="en-US"/>
        </w:rPr>
      </w:pPr>
      <w:r w:rsidRPr="006721EA">
        <w:rPr>
          <w:b/>
          <w:bCs/>
          <w:lang w:val="en-US"/>
        </w:rPr>
        <w:t>7. Historical Memory and Risk Perception</w:t>
      </w:r>
    </w:p>
    <w:p w14:paraId="1CB21B2D" w14:textId="77777777" w:rsidR="006721EA" w:rsidRPr="006721EA" w:rsidRDefault="006721EA" w:rsidP="006721EA">
      <w:pPr>
        <w:pStyle w:val="BodyText"/>
        <w:rPr>
          <w:lang w:val="en-US"/>
        </w:rPr>
      </w:pPr>
      <w:r w:rsidRPr="006721EA">
        <w:rPr>
          <w:lang w:val="en-US"/>
        </w:rPr>
        <w:t xml:space="preserve">NASDAQ investors anticipate Fed pivots, buying or selling aggressively in advance. Korean KOSDAQ investors, shaped by past crises, often herd into speculative plays unrelated to policy, or rely on government backstops. This creates </w:t>
      </w:r>
      <w:r w:rsidRPr="006721EA">
        <w:rPr>
          <w:b/>
          <w:bCs/>
          <w:lang w:val="en-US"/>
        </w:rPr>
        <w:t>less consistent interest-rate sensitivity</w:t>
      </w:r>
      <w:r w:rsidRPr="006721EA">
        <w:rPr>
          <w:lang w:val="en-US"/>
        </w:rPr>
        <w:t>.</w:t>
      </w:r>
    </w:p>
    <w:p w14:paraId="77C960D1" w14:textId="77777777" w:rsidR="006721EA" w:rsidRPr="006721EA" w:rsidRDefault="006721EA" w:rsidP="006721EA">
      <w:pPr>
        <w:pStyle w:val="BodyText"/>
        <w:rPr>
          <w:lang w:val="en-US"/>
        </w:rPr>
      </w:pPr>
      <w:r w:rsidRPr="006721EA">
        <w:rPr>
          <w:lang w:val="en-US"/>
        </w:rPr>
        <w:pict w14:anchorId="379C763B">
          <v:rect id="_x0000_i1094" style="width:0;height:1.5pt" o:hralign="center" o:hrstd="t" o:hr="t" fillcolor="#a0a0a0" stroked="f"/>
        </w:pict>
      </w:r>
    </w:p>
    <w:p w14:paraId="0394191B" w14:textId="77777777" w:rsidR="006721EA" w:rsidRPr="006721EA" w:rsidRDefault="006721EA" w:rsidP="006721EA">
      <w:pPr>
        <w:pStyle w:val="BodyText"/>
        <w:rPr>
          <w:b/>
          <w:bCs/>
          <w:lang w:val="en-US"/>
        </w:rPr>
      </w:pPr>
      <w:r w:rsidRPr="006721EA">
        <w:rPr>
          <w:b/>
          <w:bCs/>
          <w:lang w:val="en-US"/>
        </w:rPr>
        <w:t>Conclusion</w:t>
      </w:r>
    </w:p>
    <w:p w14:paraId="6393D8EE" w14:textId="77777777" w:rsidR="006721EA" w:rsidRPr="006721EA" w:rsidRDefault="006721EA" w:rsidP="006721EA">
      <w:pPr>
        <w:pStyle w:val="BodyText"/>
        <w:rPr>
          <w:lang w:val="en-US"/>
        </w:rPr>
      </w:pPr>
      <w:r w:rsidRPr="006721EA">
        <w:rPr>
          <w:lang w:val="en-US"/>
        </w:rPr>
        <w:t xml:space="preserve">Over 2005–2025, both NASDAQ and KOSDAQ prospered in </w:t>
      </w:r>
      <w:r w:rsidRPr="006721EA">
        <w:rPr>
          <w:b/>
          <w:bCs/>
          <w:lang w:val="en-US"/>
        </w:rPr>
        <w:t>low-rate environments</w:t>
      </w:r>
      <w:r w:rsidRPr="006721EA">
        <w:rPr>
          <w:lang w:val="en-US"/>
        </w:rPr>
        <w:t xml:space="preserve"> and suffered in </w:t>
      </w:r>
      <w:r w:rsidRPr="006721EA">
        <w:rPr>
          <w:b/>
          <w:bCs/>
          <w:lang w:val="en-US"/>
        </w:rPr>
        <w:t>tightening cycles</w:t>
      </w:r>
      <w:r w:rsidRPr="006721EA">
        <w:rPr>
          <w:lang w:val="en-US"/>
        </w:rPr>
        <w:t xml:space="preserve">. But </w:t>
      </w:r>
      <w:r w:rsidRPr="006721EA">
        <w:rPr>
          <w:b/>
          <w:bCs/>
          <w:lang w:val="en-US"/>
        </w:rPr>
        <w:t>NASDAQ is far more sensitive</w:t>
      </w:r>
      <w:r w:rsidRPr="006721EA">
        <w:rPr>
          <w:lang w:val="en-US"/>
        </w:rPr>
        <w:t xml:space="preserve"> to policy moves, particularly those of the Fed, because:</w:t>
      </w:r>
    </w:p>
    <w:p w14:paraId="39F5FE2D" w14:textId="77777777" w:rsidR="006721EA" w:rsidRPr="006721EA" w:rsidRDefault="006721EA" w:rsidP="006721EA">
      <w:pPr>
        <w:pStyle w:val="BodyText"/>
        <w:numPr>
          <w:ilvl w:val="0"/>
          <w:numId w:val="11"/>
        </w:numPr>
        <w:rPr>
          <w:lang w:val="en-US"/>
        </w:rPr>
      </w:pPr>
      <w:r w:rsidRPr="006721EA">
        <w:rPr>
          <w:lang w:val="en-US"/>
        </w:rPr>
        <w:t xml:space="preserve">Its firms’ </w:t>
      </w:r>
      <w:r w:rsidRPr="006721EA">
        <w:rPr>
          <w:b/>
          <w:bCs/>
          <w:lang w:val="en-US"/>
        </w:rPr>
        <w:t>long-duration cash flows</w:t>
      </w:r>
      <w:r w:rsidRPr="006721EA">
        <w:rPr>
          <w:lang w:val="en-US"/>
        </w:rPr>
        <w:t xml:space="preserve"> magnify discount-rate effects.</w:t>
      </w:r>
    </w:p>
    <w:p w14:paraId="2D24C46A" w14:textId="77777777" w:rsidR="006721EA" w:rsidRPr="006721EA" w:rsidRDefault="006721EA" w:rsidP="006721EA">
      <w:pPr>
        <w:pStyle w:val="BodyText"/>
        <w:numPr>
          <w:ilvl w:val="0"/>
          <w:numId w:val="11"/>
        </w:numPr>
        <w:rPr>
          <w:lang w:val="en-US"/>
        </w:rPr>
      </w:pPr>
      <w:r w:rsidRPr="006721EA">
        <w:rPr>
          <w:lang w:val="en-US"/>
        </w:rPr>
        <w:t xml:space="preserve">It sits at the center of </w:t>
      </w:r>
      <w:r w:rsidRPr="006721EA">
        <w:rPr>
          <w:b/>
          <w:bCs/>
          <w:lang w:val="en-US"/>
        </w:rPr>
        <w:t>global capital markets</w:t>
      </w:r>
      <w:r w:rsidRPr="006721EA">
        <w:rPr>
          <w:lang w:val="en-US"/>
        </w:rPr>
        <w:t>, repricing instantly with Fed guidance.</w:t>
      </w:r>
    </w:p>
    <w:p w14:paraId="768FD598" w14:textId="77777777" w:rsidR="006721EA" w:rsidRPr="006721EA" w:rsidRDefault="006721EA" w:rsidP="006721EA">
      <w:pPr>
        <w:pStyle w:val="BodyText"/>
        <w:numPr>
          <w:ilvl w:val="0"/>
          <w:numId w:val="11"/>
        </w:numPr>
        <w:rPr>
          <w:lang w:val="en-US"/>
        </w:rPr>
      </w:pPr>
      <w:r w:rsidRPr="006721EA">
        <w:rPr>
          <w:lang w:val="en-US"/>
        </w:rPr>
        <w:t xml:space="preserve">Its </w:t>
      </w:r>
      <w:r w:rsidRPr="006721EA">
        <w:rPr>
          <w:b/>
          <w:bCs/>
          <w:lang w:val="en-US"/>
        </w:rPr>
        <w:t>funding is bond- and equity-market based</w:t>
      </w:r>
      <w:r w:rsidRPr="006721EA">
        <w:rPr>
          <w:lang w:val="en-US"/>
        </w:rPr>
        <w:t>, so capital-market yields directly transmit policy.</w:t>
      </w:r>
    </w:p>
    <w:p w14:paraId="0702262D" w14:textId="77777777" w:rsidR="006721EA" w:rsidRPr="006721EA" w:rsidRDefault="006721EA" w:rsidP="006721EA">
      <w:pPr>
        <w:pStyle w:val="BodyText"/>
        <w:numPr>
          <w:ilvl w:val="0"/>
          <w:numId w:val="11"/>
        </w:numPr>
        <w:rPr>
          <w:lang w:val="en-US"/>
        </w:rPr>
      </w:pPr>
      <w:r w:rsidRPr="006721EA">
        <w:rPr>
          <w:lang w:val="en-US"/>
        </w:rPr>
        <w:t>Its investors are global, liquid, and highly attuned to Fed communication.</w:t>
      </w:r>
    </w:p>
    <w:p w14:paraId="787F4CDC" w14:textId="77777777" w:rsidR="006721EA" w:rsidRPr="006721EA" w:rsidRDefault="006721EA" w:rsidP="006721EA">
      <w:pPr>
        <w:pStyle w:val="BodyText"/>
        <w:rPr>
          <w:lang w:val="en-US"/>
        </w:rPr>
      </w:pPr>
      <w:r w:rsidRPr="006721EA">
        <w:rPr>
          <w:lang w:val="en-US"/>
        </w:rPr>
        <w:t xml:space="preserve">By contrast, </w:t>
      </w:r>
      <w:r w:rsidRPr="006721EA">
        <w:rPr>
          <w:b/>
          <w:bCs/>
          <w:lang w:val="en-US"/>
        </w:rPr>
        <w:t>KOSDAQ’s bank-centric funding, retail-driven sentiment, and policy buffers</w:t>
      </w:r>
      <w:r w:rsidRPr="006721EA">
        <w:rPr>
          <w:lang w:val="en-US"/>
        </w:rPr>
        <w:t xml:space="preserve"> often mute or delay the effect of BOK rate moves. KOSDAQ firms feel rates more through </w:t>
      </w:r>
      <w:r w:rsidRPr="006721EA">
        <w:rPr>
          <w:b/>
          <w:bCs/>
          <w:lang w:val="en-US"/>
        </w:rPr>
        <w:t>credit costs and access</w:t>
      </w:r>
      <w:r w:rsidRPr="006721EA">
        <w:rPr>
          <w:lang w:val="en-US"/>
        </w:rPr>
        <w:t xml:space="preserve"> than through valuation math.</w:t>
      </w:r>
    </w:p>
    <w:p w14:paraId="46B47CD2" w14:textId="77777777" w:rsidR="006721EA" w:rsidRPr="006721EA" w:rsidRDefault="006721EA" w:rsidP="006721EA">
      <w:pPr>
        <w:pStyle w:val="BodyText"/>
        <w:rPr>
          <w:lang w:val="en-US"/>
        </w:rPr>
      </w:pPr>
      <w:r w:rsidRPr="006721EA">
        <w:rPr>
          <w:lang w:val="en-US"/>
        </w:rPr>
        <w:t xml:space="preserve">Ultimately, the </w:t>
      </w:r>
      <w:r w:rsidRPr="006721EA">
        <w:rPr>
          <w:b/>
          <w:bCs/>
          <w:lang w:val="en-US"/>
        </w:rPr>
        <w:t>corporate funding structures</w:t>
      </w:r>
      <w:r w:rsidRPr="006721EA">
        <w:rPr>
          <w:lang w:val="en-US"/>
        </w:rPr>
        <w:t xml:space="preserve"> explain much of the asymmetry: </w:t>
      </w:r>
      <w:r w:rsidRPr="006721EA">
        <w:rPr>
          <w:b/>
          <w:bCs/>
          <w:lang w:val="en-US"/>
        </w:rPr>
        <w:t>market-based U.S. funding channels make NASDAQ highly rate-sensitive</w:t>
      </w:r>
      <w:r w:rsidRPr="006721EA">
        <w:rPr>
          <w:lang w:val="en-US"/>
        </w:rPr>
        <w:t xml:space="preserve">, while </w:t>
      </w:r>
      <w:r w:rsidRPr="006721EA">
        <w:rPr>
          <w:b/>
          <w:bCs/>
          <w:lang w:val="en-US"/>
        </w:rPr>
        <w:t>bank-based Korean funding channels diffuse the effect for KOSDAQ</w:t>
      </w:r>
      <w:r w:rsidRPr="006721EA">
        <w:rPr>
          <w:lang w:val="en-US"/>
        </w:rPr>
        <w:t>.</w:t>
      </w:r>
    </w:p>
    <w:p w14:paraId="15256985" w14:textId="77777777" w:rsidR="006721EA" w:rsidRPr="006721EA" w:rsidRDefault="006721EA" w:rsidP="006721EA">
      <w:pPr>
        <w:pStyle w:val="BodyText"/>
        <w:rPr>
          <w:lang w:val="en-US"/>
        </w:rPr>
      </w:pPr>
      <w:r w:rsidRPr="006721EA">
        <w:rPr>
          <w:lang w:val="en-US"/>
        </w:rPr>
        <w:pict w14:anchorId="087075CD">
          <v:rect id="_x0000_i1095" style="width:0;height:1.5pt" o:hralign="center" o:hrstd="t" o:hr="t" fillcolor="#a0a0a0" stroked="f"/>
        </w:pict>
      </w:r>
    </w:p>
    <w:p w14:paraId="574DD600" w14:textId="77777777" w:rsidR="006721EA" w:rsidRPr="006721EA" w:rsidRDefault="006721EA" w:rsidP="006721EA">
      <w:pPr>
        <w:pStyle w:val="BodyText"/>
        <w:rPr>
          <w:lang w:val="en-US"/>
        </w:rPr>
      </w:pPr>
      <w:r w:rsidRPr="006721EA">
        <w:rPr>
          <w:rFonts w:ascii="Segoe UI Emoji" w:hAnsi="Segoe UI Emoji" w:cs="Segoe UI Emoji"/>
          <w:lang w:val="en-US"/>
        </w:rPr>
        <w:t>👉</w:t>
      </w:r>
      <w:r w:rsidRPr="006721EA">
        <w:rPr>
          <w:lang w:val="en-US"/>
        </w:rPr>
        <w:t xml:space="preserve"> Would you like me to also prepare </w:t>
      </w:r>
      <w:r w:rsidRPr="006721EA">
        <w:rPr>
          <w:b/>
          <w:bCs/>
          <w:lang w:val="en-US"/>
        </w:rPr>
        <w:t>side-by-side charts</w:t>
      </w:r>
      <w:r w:rsidRPr="006721EA">
        <w:rPr>
          <w:lang w:val="en-US"/>
        </w:rPr>
        <w:t xml:space="preserve"> showing (1) Fed vs NASDAQ with bond market yields highlighted, and (2) BOK vs KOSDAQ with bank lending volumes/loan rates, to visually tie the funding-structure differences into the analysis?</w:t>
      </w:r>
    </w:p>
    <w:p w14:paraId="0C5A0BC6" w14:textId="1492FC2B" w:rsidR="006721EA" w:rsidRDefault="006721EA">
      <w:pPr>
        <w:rPr>
          <w:lang w:val="en-US"/>
        </w:rPr>
      </w:pPr>
      <w:r>
        <w:rPr>
          <w:lang w:val="en-US"/>
        </w:rPr>
        <w:br w:type="page"/>
      </w:r>
      <w:r>
        <w:rPr>
          <w:noProof/>
          <w:lang w:val="en-US"/>
        </w:rPr>
        <w:lastRenderedPageBreak/>
        <w:drawing>
          <wp:inline distT="0" distB="0" distL="0" distR="0" wp14:anchorId="65E0BCEF" wp14:editId="346DF463">
            <wp:extent cx="5943600" cy="3176270"/>
            <wp:effectExtent l="0" t="0" r="0" b="0"/>
            <wp:docPr id="942091101" name="Picture 1"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091101" name="Picture 1" descr="A graph with a line and a line&#10;&#10;AI-generated content may be incorrect."/>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5943600" cy="3176270"/>
                    </a:xfrm>
                    <a:prstGeom prst="rect">
                      <a:avLst/>
                    </a:prstGeom>
                  </pic:spPr>
                </pic:pic>
              </a:graphicData>
            </a:graphic>
          </wp:inline>
        </w:drawing>
      </w:r>
    </w:p>
    <w:p w14:paraId="708504B9" w14:textId="77777777" w:rsidR="006721EA" w:rsidRDefault="006721EA">
      <w:pPr>
        <w:rPr>
          <w:lang w:val="en-US"/>
        </w:rPr>
      </w:pPr>
    </w:p>
    <w:p w14:paraId="047EC35F" w14:textId="4E67D117" w:rsidR="006721EA" w:rsidRDefault="006721EA">
      <w:pPr>
        <w:rPr>
          <w:noProof/>
          <w:lang w:val="en-US" w:eastAsia="ko-KR"/>
        </w:rPr>
      </w:pPr>
      <w:r>
        <w:rPr>
          <w:rFonts w:hint="eastAsia"/>
          <w:noProof/>
          <w:lang w:val="en-US" w:eastAsia="ko-KR"/>
        </w:rPr>
        <w:drawing>
          <wp:inline distT="0" distB="0" distL="0" distR="0" wp14:anchorId="7FCD4DDF" wp14:editId="652E187A">
            <wp:extent cx="5943600" cy="3211195"/>
            <wp:effectExtent l="0" t="0" r="0" b="0"/>
            <wp:docPr id="273344313" name="Picture 2" descr="A graph of a graph with green and orang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44313" name="Picture 2" descr="A graph of a graph with green and orange lines&#10;&#10;AI-generated content may be incorrect."/>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5943600" cy="3211195"/>
                    </a:xfrm>
                    <a:prstGeom prst="rect">
                      <a:avLst/>
                    </a:prstGeom>
                  </pic:spPr>
                </pic:pic>
              </a:graphicData>
            </a:graphic>
          </wp:inline>
        </w:drawing>
      </w:r>
    </w:p>
    <w:p w14:paraId="0F88F75A" w14:textId="77777777" w:rsidR="006721EA" w:rsidRDefault="006721EA">
      <w:pPr>
        <w:rPr>
          <w:noProof/>
          <w:lang w:val="en-US" w:eastAsia="ko-KR"/>
        </w:rPr>
      </w:pPr>
    </w:p>
    <w:p w14:paraId="3D73C978" w14:textId="77777777" w:rsidR="006721EA" w:rsidRPr="006721EA" w:rsidRDefault="006721EA" w:rsidP="006721EA">
      <w:pPr>
        <w:rPr>
          <w:lang w:val="en-US" w:eastAsia="ko-KR"/>
        </w:rPr>
      </w:pPr>
      <w:r w:rsidRPr="006721EA">
        <w:rPr>
          <w:lang w:val="en-US" w:eastAsia="ko-KR"/>
        </w:rPr>
        <w:t xml:space="preserve">  In the U.S. chart, you can see </w:t>
      </w:r>
      <w:r w:rsidRPr="006721EA">
        <w:rPr>
          <w:b/>
          <w:bCs/>
          <w:lang w:val="en-US" w:eastAsia="ko-KR"/>
        </w:rPr>
        <w:t>sharp inverse reactions</w:t>
      </w:r>
      <w:r w:rsidRPr="006721EA">
        <w:rPr>
          <w:lang w:val="en-US" w:eastAsia="ko-KR"/>
        </w:rPr>
        <w:t xml:space="preserve"> – NASDAQ booms during ZIRP/QE (2009–2015, 2020–21) and tumbles during rapid hikes (2008, 2022).</w:t>
      </w:r>
    </w:p>
    <w:p w14:paraId="1E04C442" w14:textId="7BAA46B7" w:rsidR="006721EA" w:rsidRPr="006721EA" w:rsidRDefault="006721EA" w:rsidP="006721EA">
      <w:pPr>
        <w:rPr>
          <w:lang w:val="en-US" w:eastAsia="ko-KR"/>
        </w:rPr>
      </w:pPr>
      <w:r w:rsidRPr="006721EA">
        <w:rPr>
          <w:lang w:val="en-US" w:eastAsia="ko-KR"/>
        </w:rPr>
        <w:lastRenderedPageBreak/>
        <w:t xml:space="preserve">  In the Korea chart, </w:t>
      </w:r>
      <w:r w:rsidRPr="006721EA">
        <w:rPr>
          <w:b/>
          <w:bCs/>
          <w:lang w:val="en-US" w:eastAsia="ko-KR"/>
        </w:rPr>
        <w:t>the relationship is looser</w:t>
      </w:r>
      <w:r w:rsidRPr="006721EA">
        <w:rPr>
          <w:lang w:val="en-US" w:eastAsia="ko-KR"/>
        </w:rPr>
        <w:t xml:space="preserve"> – KOSDAQ rises and falls with liquidity cycles but doesn’t track BOK moves as tightly. Instead, turning points often coincide with </w:t>
      </w:r>
      <w:r w:rsidRPr="006721EA">
        <w:rPr>
          <w:b/>
          <w:bCs/>
          <w:lang w:val="en-US" w:eastAsia="ko-KR"/>
        </w:rPr>
        <w:t>global shocks or valuation bubbles</w:t>
      </w:r>
      <w:r w:rsidRPr="006721EA">
        <w:rPr>
          <w:lang w:val="en-US" w:eastAsia="ko-KR"/>
        </w:rPr>
        <w:t xml:space="preserve"> rather than routine policy changes.</w:t>
      </w:r>
    </w:p>
    <w:p w14:paraId="1909F9E5" w14:textId="4C0CF169" w:rsidR="006721EA" w:rsidRDefault="006721EA">
      <w:pPr>
        <w:rPr>
          <w:lang w:val="en-US" w:eastAsia="ko-KR"/>
        </w:rPr>
      </w:pPr>
    </w:p>
    <w:p w14:paraId="706DC10A" w14:textId="1001FB5D" w:rsidR="006721EA" w:rsidRDefault="006721EA">
      <w:pPr>
        <w:rPr>
          <w:noProof/>
          <w:lang w:val="en-US" w:eastAsia="ko-KR"/>
        </w:rPr>
      </w:pPr>
      <w:r>
        <w:rPr>
          <w:rFonts w:hint="eastAsia"/>
          <w:noProof/>
          <w:lang w:val="en-US" w:eastAsia="ko-KR"/>
        </w:rPr>
        <w:drawing>
          <wp:inline distT="0" distB="0" distL="0" distR="0" wp14:anchorId="3714D1F6" wp14:editId="742FB48A">
            <wp:extent cx="5943600" cy="3244215"/>
            <wp:effectExtent l="0" t="0" r="0" b="0"/>
            <wp:docPr id="862604772" name="Picture 3"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604772" name="Picture 3" descr="A graph of different colored lines&#10;&#10;AI-generated content may be incorrect."/>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5943600" cy="3244215"/>
                    </a:xfrm>
                    <a:prstGeom prst="rect">
                      <a:avLst/>
                    </a:prstGeom>
                  </pic:spPr>
                </pic:pic>
              </a:graphicData>
            </a:graphic>
          </wp:inline>
        </w:drawing>
      </w:r>
    </w:p>
    <w:p w14:paraId="5E3D45CE" w14:textId="77777777" w:rsidR="006721EA" w:rsidRDefault="006721EA">
      <w:pPr>
        <w:rPr>
          <w:noProof/>
          <w:lang w:val="en-US" w:eastAsia="ko-KR"/>
        </w:rPr>
      </w:pPr>
    </w:p>
    <w:p w14:paraId="1D2F296B" w14:textId="77777777" w:rsidR="006721EA" w:rsidRPr="006721EA" w:rsidRDefault="006721EA" w:rsidP="006721EA">
      <w:pPr>
        <w:rPr>
          <w:b/>
          <w:bCs/>
          <w:lang w:val="en-US" w:eastAsia="ko-KR"/>
        </w:rPr>
      </w:pPr>
      <w:r w:rsidRPr="006721EA">
        <w:rPr>
          <w:b/>
          <w:bCs/>
          <w:lang w:val="en-US" w:eastAsia="ko-KR"/>
        </w:rPr>
        <w:t>Chart 3: Corporate Funding Mix – US vs Korea (2005–2025, illustrative)</w:t>
      </w:r>
    </w:p>
    <w:p w14:paraId="3554B115" w14:textId="77777777" w:rsidR="006721EA" w:rsidRPr="006721EA" w:rsidRDefault="006721EA" w:rsidP="006721EA">
      <w:pPr>
        <w:numPr>
          <w:ilvl w:val="0"/>
          <w:numId w:val="12"/>
        </w:numPr>
        <w:rPr>
          <w:lang w:val="en-US" w:eastAsia="ko-KR"/>
        </w:rPr>
      </w:pPr>
      <w:r w:rsidRPr="006721EA">
        <w:rPr>
          <w:b/>
          <w:bCs/>
          <w:lang w:val="en-US" w:eastAsia="ko-KR"/>
        </w:rPr>
        <w:t>Blue:</w:t>
      </w:r>
      <w:r w:rsidRPr="006721EA">
        <w:rPr>
          <w:lang w:val="en-US" w:eastAsia="ko-KR"/>
        </w:rPr>
        <w:t xml:space="preserve"> U.S. corporate bonds share (≈56% by 2025)</w:t>
      </w:r>
    </w:p>
    <w:p w14:paraId="0D1A49D9" w14:textId="77777777" w:rsidR="006721EA" w:rsidRPr="006721EA" w:rsidRDefault="006721EA" w:rsidP="006721EA">
      <w:pPr>
        <w:numPr>
          <w:ilvl w:val="0"/>
          <w:numId w:val="12"/>
        </w:numPr>
        <w:rPr>
          <w:lang w:val="en-US" w:eastAsia="ko-KR"/>
        </w:rPr>
      </w:pPr>
      <w:r w:rsidRPr="006721EA">
        <w:rPr>
          <w:b/>
          <w:bCs/>
          <w:lang w:val="en-US" w:eastAsia="ko-KR"/>
        </w:rPr>
        <w:t>Red:</w:t>
      </w:r>
      <w:r w:rsidRPr="006721EA">
        <w:rPr>
          <w:lang w:val="en-US" w:eastAsia="ko-KR"/>
        </w:rPr>
        <w:t xml:space="preserve"> U.S. bank loans share (≈44% by 2025)</w:t>
      </w:r>
    </w:p>
    <w:p w14:paraId="448FCDCB" w14:textId="77777777" w:rsidR="006721EA" w:rsidRPr="006721EA" w:rsidRDefault="006721EA" w:rsidP="006721EA">
      <w:pPr>
        <w:numPr>
          <w:ilvl w:val="0"/>
          <w:numId w:val="12"/>
        </w:numPr>
        <w:rPr>
          <w:lang w:val="en-US" w:eastAsia="ko-KR"/>
        </w:rPr>
      </w:pPr>
      <w:r w:rsidRPr="006721EA">
        <w:rPr>
          <w:b/>
          <w:bCs/>
          <w:lang w:val="en-US" w:eastAsia="ko-KR"/>
        </w:rPr>
        <w:t>Green:</w:t>
      </w:r>
      <w:r w:rsidRPr="006721EA">
        <w:rPr>
          <w:lang w:val="en-US" w:eastAsia="ko-KR"/>
        </w:rPr>
        <w:t xml:space="preserve"> Korean corporate bonds share (rising gradually to ~37%)</w:t>
      </w:r>
    </w:p>
    <w:p w14:paraId="5BD6B4EB" w14:textId="77777777" w:rsidR="006721EA" w:rsidRPr="006721EA" w:rsidRDefault="006721EA" w:rsidP="006721EA">
      <w:pPr>
        <w:numPr>
          <w:ilvl w:val="0"/>
          <w:numId w:val="12"/>
        </w:numPr>
        <w:rPr>
          <w:lang w:val="en-US" w:eastAsia="ko-KR"/>
        </w:rPr>
      </w:pPr>
      <w:r w:rsidRPr="006721EA">
        <w:rPr>
          <w:b/>
          <w:bCs/>
          <w:lang w:val="en-US" w:eastAsia="ko-KR"/>
        </w:rPr>
        <w:t>Orange:</w:t>
      </w:r>
      <w:r w:rsidRPr="006721EA">
        <w:rPr>
          <w:lang w:val="en-US" w:eastAsia="ko-KR"/>
        </w:rPr>
        <w:t xml:space="preserve"> Korean bank loans share (declining but still dominant ~63%)</w:t>
      </w:r>
    </w:p>
    <w:p w14:paraId="56E782D9" w14:textId="77777777" w:rsidR="006721EA" w:rsidRPr="006721EA" w:rsidRDefault="006721EA" w:rsidP="006721EA">
      <w:pPr>
        <w:rPr>
          <w:lang w:val="en-US" w:eastAsia="ko-KR"/>
        </w:rPr>
      </w:pPr>
      <w:r w:rsidRPr="006721EA">
        <w:rPr>
          <w:lang w:val="en-US" w:eastAsia="ko-KR"/>
        </w:rPr>
        <w:t>&lt;&lt;ImageDisplayed&gt;&gt;</w:t>
      </w:r>
    </w:p>
    <w:p w14:paraId="0A9392C1" w14:textId="77777777" w:rsidR="006721EA" w:rsidRPr="006721EA" w:rsidRDefault="006721EA" w:rsidP="006721EA">
      <w:pPr>
        <w:rPr>
          <w:lang w:val="en-US" w:eastAsia="ko-KR"/>
        </w:rPr>
      </w:pPr>
      <w:r w:rsidRPr="006721EA">
        <w:rPr>
          <w:lang w:val="en-US" w:eastAsia="ko-KR"/>
        </w:rPr>
        <w:pict w14:anchorId="13FE487A">
          <v:rect id="_x0000_i1239" style="width:0;height:1.5pt" o:hralign="center" o:hrstd="t" o:hr="t" fillcolor="#a0a0a0" stroked="f"/>
        </w:pict>
      </w:r>
    </w:p>
    <w:p w14:paraId="5A71BA5F" w14:textId="77777777" w:rsidR="006721EA" w:rsidRPr="006721EA" w:rsidRDefault="006721EA" w:rsidP="006721EA">
      <w:pPr>
        <w:rPr>
          <w:lang w:val="en-US" w:eastAsia="ko-KR"/>
        </w:rPr>
      </w:pPr>
      <w:r w:rsidRPr="006721EA">
        <w:rPr>
          <w:rFonts w:ascii="Segoe UI Emoji" w:hAnsi="Segoe UI Emoji" w:cs="Segoe UI Emoji"/>
          <w:lang w:val="en-US" w:eastAsia="ko-KR"/>
        </w:rPr>
        <w:t>📌</w:t>
      </w:r>
      <w:r w:rsidRPr="006721EA">
        <w:rPr>
          <w:lang w:val="en-US" w:eastAsia="ko-KR"/>
        </w:rPr>
        <w:t xml:space="preserve"> </w:t>
      </w:r>
      <w:r w:rsidRPr="006721EA">
        <w:rPr>
          <w:b/>
          <w:bCs/>
          <w:lang w:val="en-US" w:eastAsia="ko-KR"/>
        </w:rPr>
        <w:t>Key Takeaways from the chart</w:t>
      </w:r>
    </w:p>
    <w:p w14:paraId="5807BA8F" w14:textId="77777777" w:rsidR="006721EA" w:rsidRPr="006721EA" w:rsidRDefault="006721EA" w:rsidP="006721EA">
      <w:pPr>
        <w:numPr>
          <w:ilvl w:val="0"/>
          <w:numId w:val="13"/>
        </w:numPr>
        <w:rPr>
          <w:lang w:val="en-US" w:eastAsia="ko-KR"/>
        </w:rPr>
      </w:pPr>
      <w:r w:rsidRPr="006721EA">
        <w:rPr>
          <w:lang w:val="en-US" w:eastAsia="ko-KR"/>
        </w:rPr>
        <w:t xml:space="preserve">The </w:t>
      </w:r>
      <w:r w:rsidRPr="006721EA">
        <w:rPr>
          <w:b/>
          <w:bCs/>
          <w:lang w:val="en-US" w:eastAsia="ko-KR"/>
        </w:rPr>
        <w:t>U.S. system is market-based</w:t>
      </w:r>
      <w:r w:rsidRPr="006721EA">
        <w:rPr>
          <w:lang w:val="en-US" w:eastAsia="ko-KR"/>
        </w:rPr>
        <w:t>: corporate bond share has been stable or slightly rising, over half of funding.</w:t>
      </w:r>
    </w:p>
    <w:p w14:paraId="3B8CD6F1" w14:textId="77777777" w:rsidR="006721EA" w:rsidRPr="006721EA" w:rsidRDefault="006721EA" w:rsidP="006721EA">
      <w:pPr>
        <w:numPr>
          <w:ilvl w:val="0"/>
          <w:numId w:val="13"/>
        </w:numPr>
        <w:rPr>
          <w:lang w:val="en-US" w:eastAsia="ko-KR"/>
        </w:rPr>
      </w:pPr>
      <w:r w:rsidRPr="006721EA">
        <w:rPr>
          <w:lang w:val="en-US" w:eastAsia="ko-KR"/>
        </w:rPr>
        <w:lastRenderedPageBreak/>
        <w:t xml:space="preserve">The </w:t>
      </w:r>
      <w:r w:rsidRPr="006721EA">
        <w:rPr>
          <w:b/>
          <w:bCs/>
          <w:lang w:val="en-US" w:eastAsia="ko-KR"/>
        </w:rPr>
        <w:t>Korean system is bank-centric</w:t>
      </w:r>
      <w:r w:rsidRPr="006721EA">
        <w:rPr>
          <w:lang w:val="en-US" w:eastAsia="ko-KR"/>
        </w:rPr>
        <w:t>: loans remain ~2/3 of corporate financing even in 2025, though bond share has grown since 2008.</w:t>
      </w:r>
    </w:p>
    <w:p w14:paraId="251EB0F9" w14:textId="77777777" w:rsidR="006721EA" w:rsidRPr="006721EA" w:rsidRDefault="006721EA" w:rsidP="006721EA">
      <w:pPr>
        <w:numPr>
          <w:ilvl w:val="0"/>
          <w:numId w:val="13"/>
        </w:numPr>
        <w:rPr>
          <w:lang w:val="en-US" w:eastAsia="ko-KR"/>
        </w:rPr>
      </w:pPr>
      <w:r w:rsidRPr="006721EA">
        <w:rPr>
          <w:lang w:val="en-US" w:eastAsia="ko-KR"/>
        </w:rPr>
        <w:t xml:space="preserve">This structural difference means Fed policy </w:t>
      </w:r>
      <w:r w:rsidRPr="006721EA">
        <w:rPr>
          <w:b/>
          <w:bCs/>
          <w:lang w:val="en-US" w:eastAsia="ko-KR"/>
        </w:rPr>
        <w:t>transmits quickly through bond yields and valuations</w:t>
      </w:r>
      <w:r w:rsidRPr="006721EA">
        <w:rPr>
          <w:lang w:val="en-US" w:eastAsia="ko-KR"/>
        </w:rPr>
        <w:t xml:space="preserve">, while BOK policy </w:t>
      </w:r>
      <w:r w:rsidRPr="006721EA">
        <w:rPr>
          <w:b/>
          <w:bCs/>
          <w:lang w:val="en-US" w:eastAsia="ko-KR"/>
        </w:rPr>
        <w:t>filters through bank lending conditions and SME credit</w:t>
      </w:r>
      <w:r w:rsidRPr="006721EA">
        <w:rPr>
          <w:lang w:val="en-US" w:eastAsia="ko-KR"/>
        </w:rPr>
        <w:t>, making KOSDAQ’s sensitivity more indirect and lagged.</w:t>
      </w:r>
    </w:p>
    <w:bookmarkEnd w:id="17"/>
    <w:p w14:paraId="77531C4C" w14:textId="0DA1B74F" w:rsidR="006721EA" w:rsidRPr="006721EA" w:rsidRDefault="006721EA">
      <w:pPr>
        <w:rPr>
          <w:rFonts w:hint="eastAsia"/>
          <w:lang w:val="en-US" w:eastAsia="ko-KR"/>
        </w:rPr>
      </w:pPr>
    </w:p>
    <w:sectPr w:rsidR="006721EA" w:rsidRPr="006721EA">
      <w:footnotePr>
        <w:numRestart w:val="eachSect"/>
      </w:footnotePr>
      <w:pgSz w:w="12240" w:h="15840"/>
      <w:pgMar w:top="1701"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맑은 고딕">
    <w:panose1 w:val="020B0503020000020004"/>
    <w:charset w:val="81"/>
    <w:family w:val="modern"/>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1B072C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47E473C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6AC2F4A"/>
    <w:multiLevelType w:val="multilevel"/>
    <w:tmpl w:val="B0E6F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73BC7"/>
    <w:multiLevelType w:val="multilevel"/>
    <w:tmpl w:val="0F9AF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FE4038"/>
    <w:multiLevelType w:val="multilevel"/>
    <w:tmpl w:val="ED48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561D35"/>
    <w:multiLevelType w:val="multilevel"/>
    <w:tmpl w:val="6C463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2376603">
    <w:abstractNumId w:val="0"/>
  </w:num>
  <w:num w:numId="2" w16cid:durableId="957834563">
    <w:abstractNumId w:val="1"/>
  </w:num>
  <w:num w:numId="3" w16cid:durableId="254558133">
    <w:abstractNumId w:val="1"/>
  </w:num>
  <w:num w:numId="4" w16cid:durableId="834496101">
    <w:abstractNumId w:val="1"/>
  </w:num>
  <w:num w:numId="5" w16cid:durableId="1128426712">
    <w:abstractNumId w:val="1"/>
  </w:num>
  <w:num w:numId="6" w16cid:durableId="391928704">
    <w:abstractNumId w:val="1"/>
  </w:num>
  <w:num w:numId="7" w16cid:durableId="1083067257">
    <w:abstractNumId w:val="1"/>
  </w:num>
  <w:num w:numId="8" w16cid:durableId="2043049569">
    <w:abstractNumId w:val="1"/>
  </w:num>
  <w:num w:numId="9" w16cid:durableId="1372421760">
    <w:abstractNumId w:val="1"/>
  </w:num>
  <w:num w:numId="10" w16cid:durableId="79643169">
    <w:abstractNumId w:val="5"/>
  </w:num>
  <w:num w:numId="11" w16cid:durableId="244264493">
    <w:abstractNumId w:val="4"/>
  </w:num>
  <w:num w:numId="12" w16cid:durableId="1746761078">
    <w:abstractNumId w:val="3"/>
  </w:num>
  <w:num w:numId="13" w16cid:durableId="9466905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useFELayout/>
    <w:compatSetting w:name="compatibilityMode" w:uri="http://schemas.microsoft.com/office/word" w:val="12"/>
    <w:compatSetting w:name="useWord2013TrackBottomHyphenation" w:uri="http://schemas.microsoft.com/office/word" w:val="1"/>
  </w:compat>
  <w:rsids>
    <w:rsidRoot w:val="00DF2FD6"/>
    <w:rsid w:val="006721EA"/>
    <w:rsid w:val="00D40567"/>
    <w:rsid w:val="00DF2FD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BCC78"/>
  <w15:docId w15:val="{B515295F-6CE5-4445-8537-B80AA52A2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global-rates.com/en/interest-rates/central-banks/15/south-korean-bank-of-korea-base-rate/" TargetMode="External"/><Relationship Id="rId21" Type="http://schemas.openxmlformats.org/officeDocument/2006/relationships/hyperlink" Target="https://fred.stlouisfed.org/data/FEDFUNDS" TargetMode="External"/><Relationship Id="rId42" Type="http://schemas.openxmlformats.org/officeDocument/2006/relationships/hyperlink" Target="https://fred.stlouisfed.org/data/INTDSRKRM193N" TargetMode="External"/><Relationship Id="rId63" Type="http://schemas.openxmlformats.org/officeDocument/2006/relationships/hyperlink" Target="https://www.mk.co.kr/en/stock/11064082" TargetMode="External"/><Relationship Id="rId84" Type="http://schemas.openxmlformats.org/officeDocument/2006/relationships/hyperlink" Target="https://business.columbia.edu/sites/default/files-efs/citation_file_upload/Interest%20rate%20sensitivity%20and%20growth_Nov13_2024.pdf" TargetMode="External"/><Relationship Id="rId138" Type="http://schemas.openxmlformats.org/officeDocument/2006/relationships/hyperlink" Target="https://www.bok.or.kr/eng/bbs/E0000627/view.do?nttId=139183&amp;menuNo=400022&amp;pageIndex=15" TargetMode="External"/><Relationship Id="rId159" Type="http://schemas.openxmlformats.org/officeDocument/2006/relationships/hyperlink" Target="https://www.brookings.edu/articles/fed-response-to-covid19/" TargetMode="External"/><Relationship Id="rId170" Type="http://schemas.openxmlformats.org/officeDocument/2006/relationships/image" Target="media/image3.png"/><Relationship Id="rId107" Type="http://schemas.openxmlformats.org/officeDocument/2006/relationships/hyperlink" Target="https://fred.stlouisfed.org/data/FEDFUNDS" TargetMode="External"/><Relationship Id="rId11" Type="http://schemas.openxmlformats.org/officeDocument/2006/relationships/hyperlink" Target="https://www.global-rates.com/en/interest-rates/central-banks/15/south-korean-bank-of-korea-base-rate/" TargetMode="External"/><Relationship Id="rId32" Type="http://schemas.openxmlformats.org/officeDocument/2006/relationships/hyperlink" Target="https://pubmed.ncbi.nlm.nih.gov/34037839/" TargetMode="External"/><Relationship Id="rId53" Type="http://schemas.openxmlformats.org/officeDocument/2006/relationships/hyperlink" Target="https://www.reuters.com/article/technology/skorean-shares-drop-25-in-2022-worst-annual-performance-in-14-years-idUSAZN0VQWC1/" TargetMode="External"/><Relationship Id="rId74" Type="http://schemas.openxmlformats.org/officeDocument/2006/relationships/hyperlink" Target="https://www.global-rates.com/en/interest-rates/central-banks/15/south-korean-bank-of-korea-base-rate/" TargetMode="External"/><Relationship Id="rId128" Type="http://schemas.openxmlformats.org/officeDocument/2006/relationships/hyperlink" Target="https://fred.stlouisfed.org/data/NASDAQCOM" TargetMode="External"/><Relationship Id="rId149" Type="http://schemas.openxmlformats.org/officeDocument/2006/relationships/hyperlink" Target="https://fred.stlouisfed.org/data/INTDSRKRM193N" TargetMode="External"/><Relationship Id="rId5" Type="http://schemas.openxmlformats.org/officeDocument/2006/relationships/hyperlink" Target="https://fred.stlouisfed.org/data/FEDFUNDS" TargetMode="External"/><Relationship Id="rId95" Type="http://schemas.openxmlformats.org/officeDocument/2006/relationships/hyperlink" Target="https://www.ceicdata.com/en/indicator/korea/policy-rate" TargetMode="External"/><Relationship Id="rId160" Type="http://schemas.openxmlformats.org/officeDocument/2006/relationships/hyperlink" Target="https://www.brookings.edu/articles/fed-response-to-covid19/" TargetMode="External"/><Relationship Id="rId22" Type="http://schemas.openxmlformats.org/officeDocument/2006/relationships/hyperlink" Target="https://www.bok.or.kr/eng/bbs/E0000627/view.do?nttId=139183&amp;menuNo=400022&amp;pageIndex=15" TargetMode="External"/><Relationship Id="rId43" Type="http://schemas.openxmlformats.org/officeDocument/2006/relationships/hyperlink" Target="https://www.mk.co.kr/en/stock/11064082" TargetMode="External"/><Relationship Id="rId64" Type="http://schemas.openxmlformats.org/officeDocument/2006/relationships/hyperlink" Target="https://www.mk.co.kr/en/stock/11064082" TargetMode="External"/><Relationship Id="rId118" Type="http://schemas.openxmlformats.org/officeDocument/2006/relationships/hyperlink" Target="https://www.global-rates.com/en/interest-rates/central-banks/15/south-korean-bank-of-korea-base-rate/" TargetMode="External"/><Relationship Id="rId139" Type="http://schemas.openxmlformats.org/officeDocument/2006/relationships/hyperlink" Target="https://www.bok.or.kr/eng/bbs/E0000627/view.do?nttId=139183&amp;menuNo=400022&amp;pageIndex=15" TargetMode="External"/><Relationship Id="rId85" Type="http://schemas.openxmlformats.org/officeDocument/2006/relationships/hyperlink" Target="https://business.columbia.edu/sites/default/files-efs/citation_file_upload/Interest%20rate%20sensitivity%20and%20growth_Nov13_2024.pdf" TargetMode="External"/><Relationship Id="rId150" Type="http://schemas.openxmlformats.org/officeDocument/2006/relationships/hyperlink" Target="https://fred.stlouisfed.org/data/INTDSRKRM193N" TargetMode="External"/><Relationship Id="rId171" Type="http://schemas.openxmlformats.org/officeDocument/2006/relationships/fontTable" Target="fontTable.xml"/><Relationship Id="rId12" Type="http://schemas.openxmlformats.org/officeDocument/2006/relationships/hyperlink" Target="https://www.global-rates.com/en/interest-rates/central-banks/15/south-korean-bank-of-korea-base-rate/" TargetMode="External"/><Relationship Id="rId33" Type="http://schemas.openxmlformats.org/officeDocument/2006/relationships/hyperlink" Target="https://www.bis.org/publ/bppdf/bispap78n.pdf" TargetMode="External"/><Relationship Id="rId108" Type="http://schemas.openxmlformats.org/officeDocument/2006/relationships/hyperlink" Target="https://fred.stlouisfed.org/data/FEDFUNDS" TargetMode="External"/><Relationship Id="rId129" Type="http://schemas.openxmlformats.org/officeDocument/2006/relationships/hyperlink" Target="https://pubmed.ncbi.nlm.nih.gov/34037839/" TargetMode="External"/><Relationship Id="rId54" Type="http://schemas.openxmlformats.org/officeDocument/2006/relationships/hyperlink" Target="https://www.reuters.com/article/technology/skorean-shares-drop-25-in-2022-worst-annual-performance-in-14-years-idUSAZN0VQWC1/" TargetMode="External"/><Relationship Id="rId70" Type="http://schemas.openxmlformats.org/officeDocument/2006/relationships/hyperlink" Target="https://business.columbia.edu/sites/default/files-efs/citation_file_upload/Interest%20rate%20sensitivity%20and%20growth_Nov13_2024.pdf" TargetMode="External"/><Relationship Id="rId75" Type="http://schemas.openxmlformats.org/officeDocument/2006/relationships/hyperlink" Target="https://www.koreaherald.com/article/3028581" TargetMode="External"/><Relationship Id="rId91" Type="http://schemas.openxmlformats.org/officeDocument/2006/relationships/hyperlink" Target="https://fred.stlouisfed.org/data/FEDFUNDS" TargetMode="External"/><Relationship Id="rId96" Type="http://schemas.openxmlformats.org/officeDocument/2006/relationships/hyperlink" Target="https://www.mk.co.kr/en/stock/11064082" TargetMode="External"/><Relationship Id="rId140" Type="http://schemas.openxmlformats.org/officeDocument/2006/relationships/hyperlink" Target="https://en.wikipedia.org/wiki/KOSPI" TargetMode="External"/><Relationship Id="rId145" Type="http://schemas.openxmlformats.org/officeDocument/2006/relationships/hyperlink" Target="https://www.reuters.com/article/technology/skorean-shares-drop-25-in-2022-worst-annual-performance-in-14-years-idUSAZN0VQWC1/" TargetMode="External"/><Relationship Id="rId161" Type="http://schemas.openxmlformats.org/officeDocument/2006/relationships/hyperlink" Target="https://business.columbia.edu/sites/default/files-efs/citation_file_upload/Interest%20rate%20sensitivity%20and%20growth_Nov13_2024.pdf" TargetMode="External"/><Relationship Id="rId166" Type="http://schemas.openxmlformats.org/officeDocument/2006/relationships/hyperlink" Target="https://www.chosun.com/english/market-money-en/2025/09/08/QJRGJK2UXFE57OVL7V3PBFNH7E/" TargetMode="External"/><Relationship Id="rId1" Type="http://schemas.openxmlformats.org/officeDocument/2006/relationships/numbering" Target="numbering.xml"/><Relationship Id="rId6" Type="http://schemas.openxmlformats.org/officeDocument/2006/relationships/hyperlink" Target="https://fred.stlouisfed.org/data/FEDFUNDS" TargetMode="External"/><Relationship Id="rId23" Type="http://schemas.openxmlformats.org/officeDocument/2006/relationships/hyperlink" Target="https://fred.stlouisfed.org/data/NASDAQCOM" TargetMode="External"/><Relationship Id="rId28" Type="http://schemas.openxmlformats.org/officeDocument/2006/relationships/hyperlink" Target="https://www.reuters.com/article/technology/skorean-shares-drop-25-in-2022-worst-annual-performance-in-14-years-idUSAZN0VQWC1/" TargetMode="External"/><Relationship Id="rId49" Type="http://schemas.openxmlformats.org/officeDocument/2006/relationships/hyperlink" Target="https://fred.stlouisfed.org/data/FEDFUNDS" TargetMode="External"/><Relationship Id="rId114" Type="http://schemas.openxmlformats.org/officeDocument/2006/relationships/hyperlink" Target="https://www.ceicdata.com/en/indicator/korea/policy-rate" TargetMode="External"/><Relationship Id="rId119" Type="http://schemas.openxmlformats.org/officeDocument/2006/relationships/hyperlink" Target="https://www.global-rates.com/en/interest-rates/central-banks/15/south-korean-bank-of-korea-base-rate/" TargetMode="External"/><Relationship Id="rId44" Type="http://schemas.openxmlformats.org/officeDocument/2006/relationships/hyperlink" Target="https://www.mk.co.kr/en/stock/11064082" TargetMode="External"/><Relationship Id="rId60" Type="http://schemas.openxmlformats.org/officeDocument/2006/relationships/hyperlink" Target="https://www.ceicdata.com/en/indicator/korea/policy-rate" TargetMode="External"/><Relationship Id="rId65" Type="http://schemas.openxmlformats.org/officeDocument/2006/relationships/hyperlink" Target="https://www.mk.co.kr/en/stock/11064082" TargetMode="External"/><Relationship Id="rId81" Type="http://schemas.openxmlformats.org/officeDocument/2006/relationships/hyperlink" Target="https://www.global-rates.com/en/interest-rates/central-banks/15/south-korean-bank-of-korea-base-rate/" TargetMode="External"/><Relationship Id="rId86" Type="http://schemas.openxmlformats.org/officeDocument/2006/relationships/hyperlink" Target="https://business.columbia.edu/sites/default/files-efs/citation_file_upload/Interest%20rate%20sensitivity%20and%20growth_Nov13_2024.pdf" TargetMode="External"/><Relationship Id="rId130" Type="http://schemas.openxmlformats.org/officeDocument/2006/relationships/hyperlink" Target="https://pubmed.ncbi.nlm.nih.gov/34037839/" TargetMode="External"/><Relationship Id="rId135" Type="http://schemas.openxmlformats.org/officeDocument/2006/relationships/hyperlink" Target="https://www.mk.co.kr/en/stock/11064082" TargetMode="External"/><Relationship Id="rId151" Type="http://schemas.openxmlformats.org/officeDocument/2006/relationships/hyperlink" Target="https://fred.stlouisfed.org/data/INTDSRKRM193N" TargetMode="External"/><Relationship Id="rId156" Type="http://schemas.openxmlformats.org/officeDocument/2006/relationships/hyperlink" Target="https://indexes.nasdaqomx.com/docs/Interest%20rate%20sensitivity%20of%20the%20Nasdaq-100.pdf" TargetMode="External"/><Relationship Id="rId172" Type="http://schemas.openxmlformats.org/officeDocument/2006/relationships/theme" Target="theme/theme1.xml"/><Relationship Id="rId13" Type="http://schemas.openxmlformats.org/officeDocument/2006/relationships/hyperlink" Target="https://fred.stlouisfed.org/data/NASDAQCOM" TargetMode="External"/><Relationship Id="rId18" Type="http://schemas.openxmlformats.org/officeDocument/2006/relationships/hyperlink" Target="https://www.mk.co.kr/en/stock/11064082" TargetMode="External"/><Relationship Id="rId39" Type="http://schemas.openxmlformats.org/officeDocument/2006/relationships/hyperlink" Target="https://www.bis.org/publ/bppdf/bispap78n.pdf" TargetMode="External"/><Relationship Id="rId109" Type="http://schemas.openxmlformats.org/officeDocument/2006/relationships/hyperlink" Target="https://fred.stlouisfed.org/data/FEDFUNDS" TargetMode="External"/><Relationship Id="rId34" Type="http://schemas.openxmlformats.org/officeDocument/2006/relationships/hyperlink" Target="https://www.bis.org/publ/bppdf/bispap78n.pdf" TargetMode="External"/><Relationship Id="rId50" Type="http://schemas.openxmlformats.org/officeDocument/2006/relationships/hyperlink" Target="https://fred.stlouisfed.org/data/INTDSRKRM193N" TargetMode="External"/><Relationship Id="rId55" Type="http://schemas.openxmlformats.org/officeDocument/2006/relationships/hyperlink" Target="https://www.reuters.com/article/technology/skorean-shares-drop-25-in-2022-worst-annual-performance-in-14-years-idUSAZN0VQWC1/" TargetMode="External"/><Relationship Id="rId76" Type="http://schemas.openxmlformats.org/officeDocument/2006/relationships/hyperlink" Target="https://www.reuters.com/article/technology/skorean-shares-drop-25-in-2022-worst-annual-performance-in-14-years-idUSAZN0VQWC1/" TargetMode="External"/><Relationship Id="rId97" Type="http://schemas.openxmlformats.org/officeDocument/2006/relationships/hyperlink" Target="https://business.columbia.edu/sites/default/files-efs/citation_file_upload/Interest%20rate%20sensitivity%20and%20growth_Nov13_2024.pdf" TargetMode="External"/><Relationship Id="rId104" Type="http://schemas.openxmlformats.org/officeDocument/2006/relationships/hyperlink" Target="https://fred.stlouisfed.org/data/FEDFUNDS" TargetMode="External"/><Relationship Id="rId120" Type="http://schemas.openxmlformats.org/officeDocument/2006/relationships/hyperlink" Target="https://www.global-rates.com/en/interest-rates/central-banks/15/south-korean-bank-of-korea-base-rate/" TargetMode="External"/><Relationship Id="rId125" Type="http://schemas.openxmlformats.org/officeDocument/2006/relationships/hyperlink" Target="https://fred.stlouisfed.org/data/NASDAQCOM" TargetMode="External"/><Relationship Id="rId141" Type="http://schemas.openxmlformats.org/officeDocument/2006/relationships/hyperlink" Target="https://en.wikipedia.org/wiki/KOSPI" TargetMode="External"/><Relationship Id="rId146" Type="http://schemas.openxmlformats.org/officeDocument/2006/relationships/hyperlink" Target="https://www.reuters.com/article/technology/skorean-shares-drop-25-in-2022-worst-annual-performance-in-14-years-idUSAZN0VQWC1/" TargetMode="External"/><Relationship Id="rId167" Type="http://schemas.openxmlformats.org/officeDocument/2006/relationships/hyperlink" Target="https://www.chosun.com/english/market-money-en/2025/09/08/QJRGJK2UXFE57OVL7V3PBFNH7E/" TargetMode="External"/><Relationship Id="rId7" Type="http://schemas.openxmlformats.org/officeDocument/2006/relationships/hyperlink" Target="https://fred.stlouisfed.org/data/FEDFUNDS" TargetMode="External"/><Relationship Id="rId71" Type="http://schemas.openxmlformats.org/officeDocument/2006/relationships/hyperlink" Target="https://business.columbia.edu/sites/default/files-efs/citation_file_upload/Interest%20rate%20sensitivity%20and%20growth_Nov13_2024.pdf" TargetMode="External"/><Relationship Id="rId92" Type="http://schemas.openxmlformats.org/officeDocument/2006/relationships/hyperlink" Target="https://fred.stlouisfed.org/data/FEDFUNDS" TargetMode="External"/><Relationship Id="rId162" Type="http://schemas.openxmlformats.org/officeDocument/2006/relationships/hyperlink" Target="https://business.columbia.edu/sites/default/files-efs/citation_file_upload/Interest%20rate%20sensitivity%20and%20growth_Nov13_2024.pdf" TargetMode="External"/><Relationship Id="rId2" Type="http://schemas.openxmlformats.org/officeDocument/2006/relationships/styles" Target="styles.xml"/><Relationship Id="rId29" Type="http://schemas.openxmlformats.org/officeDocument/2006/relationships/hyperlink" Target="https://www.reuters.com/article/technology/skorean-shares-drop-25-in-2022-worst-annual-performance-in-14-years-idUSAZN0VQWC1/" TargetMode="External"/><Relationship Id="rId24" Type="http://schemas.openxmlformats.org/officeDocument/2006/relationships/hyperlink" Target="https://en.wikipedia.org/wiki/KOSPI" TargetMode="External"/><Relationship Id="rId40" Type="http://schemas.openxmlformats.org/officeDocument/2006/relationships/hyperlink" Target="https://www.bis.org/publ/bppdf/bispap78n.pdf" TargetMode="External"/><Relationship Id="rId45" Type="http://schemas.openxmlformats.org/officeDocument/2006/relationships/hyperlink" Target="https://www.bis.org/publ/bppdf/bispap78n.pdf" TargetMode="External"/><Relationship Id="rId66" Type="http://schemas.openxmlformats.org/officeDocument/2006/relationships/hyperlink" Target="https://www.mk.co.kr/en/stock/11064082" TargetMode="External"/><Relationship Id="rId87" Type="http://schemas.openxmlformats.org/officeDocument/2006/relationships/hyperlink" Target="https://business.columbia.edu/sites/default/files-efs/citation_file_upload/Interest%20rate%20sensitivity%20and%20growth_Nov13_2024.pdf" TargetMode="External"/><Relationship Id="rId110" Type="http://schemas.openxmlformats.org/officeDocument/2006/relationships/hyperlink" Target="https://fred.stlouisfed.org/data/FEDFUNDS" TargetMode="External"/><Relationship Id="rId115" Type="http://schemas.openxmlformats.org/officeDocument/2006/relationships/hyperlink" Target="https://www.ceicdata.com/en/indicator/korea/policy-rate" TargetMode="External"/><Relationship Id="rId131" Type="http://schemas.openxmlformats.org/officeDocument/2006/relationships/hyperlink" Target="https://www.mk.co.kr/en/stock/11064082" TargetMode="External"/><Relationship Id="rId136" Type="http://schemas.openxmlformats.org/officeDocument/2006/relationships/hyperlink" Target="https://www.koreaherald.com/article/3028581" TargetMode="External"/><Relationship Id="rId157" Type="http://schemas.openxmlformats.org/officeDocument/2006/relationships/hyperlink" Target="https://indexes.nasdaqomx.com/docs/Interest%20rate%20sensitivity%20of%20the%20Nasdaq-100.pdf" TargetMode="External"/><Relationship Id="rId61" Type="http://schemas.openxmlformats.org/officeDocument/2006/relationships/hyperlink" Target="https://fred.stlouisfed.org/data/NASDAQCOM" TargetMode="External"/><Relationship Id="rId82" Type="http://schemas.openxmlformats.org/officeDocument/2006/relationships/hyperlink" Target="https://business.columbia.edu/sites/default/files-efs/citation_file_upload/Interest%20rate%20sensitivity%20and%20growth_Nov13_2024.pdf" TargetMode="External"/><Relationship Id="rId152" Type="http://schemas.openxmlformats.org/officeDocument/2006/relationships/hyperlink" Target="https://fred.stlouisfed.org/data/INTDSRKRM193N" TargetMode="External"/><Relationship Id="rId19" Type="http://schemas.openxmlformats.org/officeDocument/2006/relationships/hyperlink" Target="https://www.mk.co.kr/en/stock/11064082" TargetMode="External"/><Relationship Id="rId14" Type="http://schemas.openxmlformats.org/officeDocument/2006/relationships/hyperlink" Target="https://fred.stlouisfed.org/data/NASDAQCOM" TargetMode="External"/><Relationship Id="rId30" Type="http://schemas.openxmlformats.org/officeDocument/2006/relationships/hyperlink" Target="https://fred.stlouisfed.org/data/INTDSRKRM193N" TargetMode="External"/><Relationship Id="rId35" Type="http://schemas.openxmlformats.org/officeDocument/2006/relationships/hyperlink" Target="https://fred.stlouisfed.org/data/FEDFUNDS" TargetMode="External"/><Relationship Id="rId56" Type="http://schemas.openxmlformats.org/officeDocument/2006/relationships/hyperlink" Target="https://www.reuters.com/article/technology/skorean-shares-drop-25-in-2022-worst-annual-performance-in-14-years-idUSAZN0VQWC1/" TargetMode="External"/><Relationship Id="rId77" Type="http://schemas.openxmlformats.org/officeDocument/2006/relationships/hyperlink" Target="https://www.mk.co.kr/en/stock/11064082" TargetMode="External"/><Relationship Id="rId100" Type="http://schemas.openxmlformats.org/officeDocument/2006/relationships/hyperlink" Target="https://fred.stlouisfed.org/data/FEDFUNDS" TargetMode="External"/><Relationship Id="rId105" Type="http://schemas.openxmlformats.org/officeDocument/2006/relationships/hyperlink" Target="https://fred.stlouisfed.org/data/FEDFUNDS" TargetMode="External"/><Relationship Id="rId126" Type="http://schemas.openxmlformats.org/officeDocument/2006/relationships/hyperlink" Target="https://fred.stlouisfed.org/data/NASDAQCOM" TargetMode="External"/><Relationship Id="rId147" Type="http://schemas.openxmlformats.org/officeDocument/2006/relationships/hyperlink" Target="https://fred.stlouisfed.org/data/INTDSRKRM193N" TargetMode="External"/><Relationship Id="rId168" Type="http://schemas.openxmlformats.org/officeDocument/2006/relationships/image" Target="media/image1.png"/><Relationship Id="rId8" Type="http://schemas.openxmlformats.org/officeDocument/2006/relationships/hyperlink" Target="https://fred.stlouisfed.org/data/FEDFUNDS" TargetMode="External"/><Relationship Id="rId51" Type="http://schemas.openxmlformats.org/officeDocument/2006/relationships/hyperlink" Target="https://fred.stlouisfed.org/data/INTDSRKRM193N" TargetMode="External"/><Relationship Id="rId72" Type="http://schemas.openxmlformats.org/officeDocument/2006/relationships/hyperlink" Target="https://business.columbia.edu/sites/default/files-efs/citation_file_upload/Interest%20rate%20sensitivity%20and%20growth_Nov13_2024.pdf" TargetMode="External"/><Relationship Id="rId93" Type="http://schemas.openxmlformats.org/officeDocument/2006/relationships/hyperlink" Target="https://www.reuters.com/article/technology/skorean-shares-drop-25-in-2022-worst-annual-performance-in-14-years-idUSAZN0VQWC1/" TargetMode="External"/><Relationship Id="rId98" Type="http://schemas.openxmlformats.org/officeDocument/2006/relationships/hyperlink" Target="https://business.columbia.edu/sites/default/files-efs/citation_file_upload/Interest%20rate%20sensitivity%20and%20growth_Nov13_2024.pdf" TargetMode="External"/><Relationship Id="rId121" Type="http://schemas.openxmlformats.org/officeDocument/2006/relationships/hyperlink" Target="https://www.global-rates.com/en/interest-rates/central-banks/15/south-korean-bank-of-korea-base-rate/" TargetMode="External"/><Relationship Id="rId142" Type="http://schemas.openxmlformats.org/officeDocument/2006/relationships/hyperlink" Target="https://www.reuters.com/article/technology/skorean-shares-drop-25-in-2022-worst-annual-performance-in-14-years-idUSAZN0VQWC1/" TargetMode="External"/><Relationship Id="rId163" Type="http://schemas.openxmlformats.org/officeDocument/2006/relationships/hyperlink" Target="https://business.columbia.edu/sites/default/files-efs/citation_file_upload/Interest%20rate%20sensitivity%20and%20growth_Nov13_2024.pdf" TargetMode="External"/><Relationship Id="rId3" Type="http://schemas.openxmlformats.org/officeDocument/2006/relationships/settings" Target="settings.xml"/><Relationship Id="rId25" Type="http://schemas.openxmlformats.org/officeDocument/2006/relationships/hyperlink" Target="https://fred.stlouisfed.org/data/FEDFUNDS" TargetMode="External"/><Relationship Id="rId46" Type="http://schemas.openxmlformats.org/officeDocument/2006/relationships/hyperlink" Target="https://www.bis.org/publ/bppdf/bispap78n.pdf" TargetMode="External"/><Relationship Id="rId67" Type="http://schemas.openxmlformats.org/officeDocument/2006/relationships/hyperlink" Target="https://www.mk.co.kr/en/stock/11064082" TargetMode="External"/><Relationship Id="rId116" Type="http://schemas.openxmlformats.org/officeDocument/2006/relationships/hyperlink" Target="https://www.ceicdata.com/en/indicator/korea/policy-rate" TargetMode="External"/><Relationship Id="rId137" Type="http://schemas.openxmlformats.org/officeDocument/2006/relationships/hyperlink" Target="https://www.koreaherald.com/article/3028581" TargetMode="External"/><Relationship Id="rId158" Type="http://schemas.openxmlformats.org/officeDocument/2006/relationships/hyperlink" Target="https://indexes.nasdaqomx.com/docs/Interest%20rate%20sensitivity%20of%20the%20Nasdaq-100.pdf" TargetMode="External"/><Relationship Id="rId20" Type="http://schemas.openxmlformats.org/officeDocument/2006/relationships/hyperlink" Target="https://www.koreaherald.com/article/3028581" TargetMode="External"/><Relationship Id="rId41" Type="http://schemas.openxmlformats.org/officeDocument/2006/relationships/hyperlink" Target="https://fred.stlouisfed.org/data/INTDSRKRM193N" TargetMode="External"/><Relationship Id="rId62" Type="http://schemas.openxmlformats.org/officeDocument/2006/relationships/hyperlink" Target="https://fred.stlouisfed.org/data/NASDAQCOM" TargetMode="External"/><Relationship Id="rId83" Type="http://schemas.openxmlformats.org/officeDocument/2006/relationships/hyperlink" Target="https://business.columbia.edu/sites/default/files-efs/citation_file_upload/Interest%20rate%20sensitivity%20and%20growth_Nov13_2024.pdf" TargetMode="External"/><Relationship Id="rId88" Type="http://schemas.openxmlformats.org/officeDocument/2006/relationships/hyperlink" Target="https://business.columbia.edu/sites/default/files-efs/citation_file_upload/Interest%20rate%20sensitivity%20and%20growth_Nov13_2024.pdf" TargetMode="External"/><Relationship Id="rId111" Type="http://schemas.openxmlformats.org/officeDocument/2006/relationships/hyperlink" Target="https://fred.stlouisfed.org/data/FEDFUNDS" TargetMode="External"/><Relationship Id="rId132" Type="http://schemas.openxmlformats.org/officeDocument/2006/relationships/hyperlink" Target="https://www.mk.co.kr/en/stock/11064082" TargetMode="External"/><Relationship Id="rId153" Type="http://schemas.openxmlformats.org/officeDocument/2006/relationships/hyperlink" Target="https://www.bis.org/publ/bppdf/bispap78n.pdf" TargetMode="External"/><Relationship Id="rId15" Type="http://schemas.openxmlformats.org/officeDocument/2006/relationships/hyperlink" Target="https://fred.stlouisfed.org/data/NASDAQCOM" TargetMode="External"/><Relationship Id="rId36" Type="http://schemas.openxmlformats.org/officeDocument/2006/relationships/hyperlink" Target="https://fred.stlouisfed.org/data/FEDFUNDS" TargetMode="External"/><Relationship Id="rId57" Type="http://schemas.openxmlformats.org/officeDocument/2006/relationships/hyperlink" Target="https://fred.stlouisfed.org/data/FEDFUNDS" TargetMode="External"/><Relationship Id="rId106" Type="http://schemas.openxmlformats.org/officeDocument/2006/relationships/hyperlink" Target="https://fred.stlouisfed.org/data/FEDFUNDS" TargetMode="External"/><Relationship Id="rId127" Type="http://schemas.openxmlformats.org/officeDocument/2006/relationships/hyperlink" Target="https://fred.stlouisfed.org/data/NASDAQCOM" TargetMode="External"/><Relationship Id="rId10" Type="http://schemas.openxmlformats.org/officeDocument/2006/relationships/hyperlink" Target="https://www.ceicdata.com/en/indicator/korea/policy-rate" TargetMode="External"/><Relationship Id="rId31" Type="http://schemas.openxmlformats.org/officeDocument/2006/relationships/hyperlink" Target="https://fred.stlouisfed.org/data/INTDSRKRM193N" TargetMode="External"/><Relationship Id="rId52" Type="http://schemas.openxmlformats.org/officeDocument/2006/relationships/hyperlink" Target="https://fred.stlouisfed.org/data/NASDAQCOM" TargetMode="External"/><Relationship Id="rId73" Type="http://schemas.openxmlformats.org/officeDocument/2006/relationships/hyperlink" Target="https://www.global-rates.com/en/interest-rates/central-banks/15/south-korean-bank-of-korea-base-rate/" TargetMode="External"/><Relationship Id="rId78" Type="http://schemas.openxmlformats.org/officeDocument/2006/relationships/hyperlink" Target="https://www.mk.co.kr/en/stock/11064082" TargetMode="External"/><Relationship Id="rId94" Type="http://schemas.openxmlformats.org/officeDocument/2006/relationships/hyperlink" Target="https://pubmed.ncbi.nlm.nih.gov/34037839/" TargetMode="External"/><Relationship Id="rId99" Type="http://schemas.openxmlformats.org/officeDocument/2006/relationships/hyperlink" Target="https://fred.stlouisfed.org/data/FEDFUNDS" TargetMode="External"/><Relationship Id="rId101" Type="http://schemas.openxmlformats.org/officeDocument/2006/relationships/hyperlink" Target="https://fred.stlouisfed.org/data/FEDFUNDS" TargetMode="External"/><Relationship Id="rId122" Type="http://schemas.openxmlformats.org/officeDocument/2006/relationships/hyperlink" Target="https://www.global-rates.com/en/interest-rates/central-banks/15/south-korean-bank-of-korea-base-rate/" TargetMode="External"/><Relationship Id="rId143" Type="http://schemas.openxmlformats.org/officeDocument/2006/relationships/hyperlink" Target="https://www.reuters.com/article/technology/skorean-shares-drop-25-in-2022-worst-annual-performance-in-14-years-idUSAZN0VQWC1/" TargetMode="External"/><Relationship Id="rId148" Type="http://schemas.openxmlformats.org/officeDocument/2006/relationships/hyperlink" Target="https://fred.stlouisfed.org/data/INTDSRKRM193N" TargetMode="External"/><Relationship Id="rId164" Type="http://schemas.openxmlformats.org/officeDocument/2006/relationships/hyperlink" Target="https://business.columbia.edu/sites/default/files-efs/citation_file_upload/Interest%20rate%20sensitivity%20and%20growth_Nov13_2024.pdf" TargetMode="External"/><Relationship Id="rId16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ceicdata.com/en/indicator/korea/policy-rate" TargetMode="External"/><Relationship Id="rId26" Type="http://schemas.openxmlformats.org/officeDocument/2006/relationships/hyperlink" Target="https://fred.stlouisfed.org/data/FEDFUNDS" TargetMode="External"/><Relationship Id="rId47" Type="http://schemas.openxmlformats.org/officeDocument/2006/relationships/hyperlink" Target="https://www.bis.org/publ/bppdf/bispap78n.pdf" TargetMode="External"/><Relationship Id="rId68" Type="http://schemas.openxmlformats.org/officeDocument/2006/relationships/hyperlink" Target="https://fred.stlouisfed.org/data/FEDFUNDS" TargetMode="External"/><Relationship Id="rId89" Type="http://schemas.openxmlformats.org/officeDocument/2006/relationships/hyperlink" Target="https://business.columbia.edu/sites/default/files-efs/citation_file_upload/Interest%20rate%20sensitivity%20and%20growth_Nov13_2024.pdf" TargetMode="External"/><Relationship Id="rId112" Type="http://schemas.openxmlformats.org/officeDocument/2006/relationships/hyperlink" Target="https://www.ceicdata.com/en/indicator/korea/policy-rate" TargetMode="External"/><Relationship Id="rId133" Type="http://schemas.openxmlformats.org/officeDocument/2006/relationships/hyperlink" Target="https://www.mk.co.kr/en/stock/11064082" TargetMode="External"/><Relationship Id="rId154" Type="http://schemas.openxmlformats.org/officeDocument/2006/relationships/hyperlink" Target="https://www.bis.org/publ/bppdf/bispap78n.pdf" TargetMode="External"/><Relationship Id="rId16" Type="http://schemas.openxmlformats.org/officeDocument/2006/relationships/hyperlink" Target="https://fred.stlouisfed.org/data/NASDAQCOM" TargetMode="External"/><Relationship Id="rId37" Type="http://schemas.openxmlformats.org/officeDocument/2006/relationships/hyperlink" Target="https://indexes.nasdaqomx.com/docs/Interest%20rate%20sensitivity%20of%20the%20Nasdaq-100.pdf" TargetMode="External"/><Relationship Id="rId58" Type="http://schemas.openxmlformats.org/officeDocument/2006/relationships/hyperlink" Target="https://www.brookings.edu/articles/fed-response-to-covid19/" TargetMode="External"/><Relationship Id="rId79" Type="http://schemas.openxmlformats.org/officeDocument/2006/relationships/hyperlink" Target="https://www.chosun.com/english/market-money-en/2025/09/08/QJRGJK2UXFE57OVL7V3PBFNH7E/" TargetMode="External"/><Relationship Id="rId102" Type="http://schemas.openxmlformats.org/officeDocument/2006/relationships/hyperlink" Target="https://fred.stlouisfed.org/data/FEDFUNDS" TargetMode="External"/><Relationship Id="rId123" Type="http://schemas.openxmlformats.org/officeDocument/2006/relationships/hyperlink" Target="https://fred.stlouisfed.org/data/NASDAQCOM" TargetMode="External"/><Relationship Id="rId144" Type="http://schemas.openxmlformats.org/officeDocument/2006/relationships/hyperlink" Target="https://www.reuters.com/article/technology/skorean-shares-drop-25-in-2022-worst-annual-performance-in-14-years-idUSAZN0VQWC1/" TargetMode="External"/><Relationship Id="rId90" Type="http://schemas.openxmlformats.org/officeDocument/2006/relationships/hyperlink" Target="https://www.bis.org/publ/bppdf/bispap78n.pdf" TargetMode="External"/><Relationship Id="rId165" Type="http://schemas.openxmlformats.org/officeDocument/2006/relationships/hyperlink" Target="https://business.columbia.edu/sites/default/files-efs/citation_file_upload/Interest%20rate%20sensitivity%20and%20growth_Nov13_2024.pdf" TargetMode="External"/><Relationship Id="rId27" Type="http://schemas.openxmlformats.org/officeDocument/2006/relationships/hyperlink" Target="https://pubmed.ncbi.nlm.nih.gov/34037839/" TargetMode="External"/><Relationship Id="rId48" Type="http://schemas.openxmlformats.org/officeDocument/2006/relationships/hyperlink" Target="https://fred.stlouisfed.org/data/FEDFUNDS" TargetMode="External"/><Relationship Id="rId69" Type="http://schemas.openxmlformats.org/officeDocument/2006/relationships/hyperlink" Target="https://business.columbia.edu/sites/default/files-efs/citation_file_upload/Interest%20rate%20sensitivity%20and%20growth_Nov13_2024.pdf" TargetMode="External"/><Relationship Id="rId113" Type="http://schemas.openxmlformats.org/officeDocument/2006/relationships/hyperlink" Target="https://www.ceicdata.com/en/indicator/korea/policy-rate" TargetMode="External"/><Relationship Id="rId134" Type="http://schemas.openxmlformats.org/officeDocument/2006/relationships/hyperlink" Target="https://www.mk.co.kr/en/stock/11064082" TargetMode="External"/><Relationship Id="rId80" Type="http://schemas.openxmlformats.org/officeDocument/2006/relationships/hyperlink" Target="https://www.global-rates.com/en/interest-rates/central-banks/15/south-korean-bank-of-korea-base-rate/" TargetMode="External"/><Relationship Id="rId155" Type="http://schemas.openxmlformats.org/officeDocument/2006/relationships/hyperlink" Target="https://www.bis.org/publ/bppdf/bispap78n.pdf" TargetMode="External"/><Relationship Id="rId17" Type="http://schemas.openxmlformats.org/officeDocument/2006/relationships/hyperlink" Target="https://pubmed.ncbi.nlm.nih.gov/34037839/" TargetMode="External"/><Relationship Id="rId38" Type="http://schemas.openxmlformats.org/officeDocument/2006/relationships/hyperlink" Target="https://indexes.nasdaqomx.com/docs/Interest%20rate%20sensitivity%20of%20the%20Nasdaq-100.pdf" TargetMode="External"/><Relationship Id="rId59" Type="http://schemas.openxmlformats.org/officeDocument/2006/relationships/hyperlink" Target="https://www.ceicdata.com/en/indicator/korea/policy-rate" TargetMode="External"/><Relationship Id="rId103" Type="http://schemas.openxmlformats.org/officeDocument/2006/relationships/hyperlink" Target="https://fred.stlouisfed.org/data/FEDFUNDS" TargetMode="External"/><Relationship Id="rId124" Type="http://schemas.openxmlformats.org/officeDocument/2006/relationships/hyperlink" Target="https://fred.stlouisfed.org/data/NASDA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21</Pages>
  <Words>10670</Words>
  <Characters>60821</Characters>
  <Application>Microsoft Office Word</Application>
  <DocSecurity>0</DocSecurity>
  <Lines>506</Lines>
  <Paragraphs>142</Paragraphs>
  <ScaleCrop>false</ScaleCrop>
  <Company/>
  <LinksUpToDate>false</LinksUpToDate>
  <CharactersWithSpaces>71349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sung-o kim</cp:lastModifiedBy>
  <cp:revision>2</cp:revision>
  <dcterms:created xsi:type="dcterms:W3CDTF">2025-09-21T02:46:00Z</dcterms:created>
  <dcterms:modified xsi:type="dcterms:W3CDTF">2025-09-21T02:52:00Z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